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9F" w:rsidRDefault="007F0E9F"/>
    <w:p w:rsidR="00CC4184" w:rsidRDefault="00CC4184"/>
    <w:p w:rsidR="009C757E" w:rsidRDefault="00C55A7C" w:rsidP="009C757E">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REPORTE ESTADÍ</w:t>
      </w:r>
      <w:r w:rsidR="007F43D5" w:rsidRPr="00C9744C">
        <w:rPr>
          <w:rFonts w:ascii="Arial" w:hAnsi="Arial" w:cs="Arial"/>
          <w:b/>
          <w:sz w:val="24"/>
          <w:szCs w:val="24"/>
          <w:lang w:val="es-ES_tradnl"/>
        </w:rPr>
        <w:t>STICO</w:t>
      </w:r>
      <w:r w:rsidR="009C757E">
        <w:rPr>
          <w:rFonts w:ascii="Arial" w:hAnsi="Arial" w:cs="Arial"/>
          <w:b/>
          <w:sz w:val="24"/>
          <w:szCs w:val="24"/>
          <w:lang w:val="es-ES_tradnl"/>
        </w:rPr>
        <w:t>TRIMESTRAL</w:t>
      </w:r>
    </w:p>
    <w:p w:rsidR="00075CEC" w:rsidRPr="00C9744C" w:rsidRDefault="001506FF" w:rsidP="00075CEC">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MEXICALI</w:t>
      </w:r>
    </w:p>
    <w:p w:rsidR="007F43D5" w:rsidRPr="00C9744C" w:rsidRDefault="000668D2">
      <w:pPr>
        <w:rPr>
          <w:rFonts w:ascii="Arial" w:hAnsi="Arial" w:cs="Arial"/>
          <w:b/>
          <w:sz w:val="24"/>
          <w:szCs w:val="24"/>
          <w:lang w:val="es-ES_tradnl"/>
        </w:rPr>
      </w:pPr>
      <w:r>
        <w:rPr>
          <w:rFonts w:ascii="Arial" w:hAnsi="Arial" w:cs="Arial"/>
          <w:b/>
          <w:sz w:val="24"/>
          <w:szCs w:val="24"/>
          <w:lang w:val="es-ES_tradnl"/>
        </w:rPr>
        <w:t>ENERO  A MARZO</w:t>
      </w:r>
      <w:r w:rsidR="007C3DC1">
        <w:rPr>
          <w:rFonts w:ascii="Arial" w:hAnsi="Arial" w:cs="Arial"/>
          <w:b/>
          <w:sz w:val="24"/>
          <w:szCs w:val="24"/>
          <w:lang w:val="es-ES_tradnl"/>
        </w:rPr>
        <w:t xml:space="preserve"> </w:t>
      </w:r>
      <w:r w:rsidR="002E209D">
        <w:rPr>
          <w:rFonts w:ascii="Arial" w:hAnsi="Arial" w:cs="Arial"/>
          <w:b/>
          <w:sz w:val="24"/>
          <w:szCs w:val="24"/>
          <w:lang w:val="es-ES_tradnl"/>
        </w:rPr>
        <w:t>DE 201</w:t>
      </w:r>
      <w:r w:rsidR="005F7A6D">
        <w:rPr>
          <w:rFonts w:ascii="Arial" w:hAnsi="Arial" w:cs="Arial"/>
          <w:b/>
          <w:sz w:val="24"/>
          <w:szCs w:val="24"/>
          <w:lang w:val="es-ES_tradnl"/>
        </w:rPr>
        <w:t>6</w:t>
      </w:r>
      <w:r w:rsidR="007F43D5" w:rsidRPr="00C9744C">
        <w:rPr>
          <w:rFonts w:ascii="Arial" w:hAnsi="Arial" w:cs="Arial"/>
          <w:b/>
          <w:sz w:val="24"/>
          <w:szCs w:val="24"/>
          <w:lang w:val="es-ES_tradnl"/>
        </w:rPr>
        <w:t>:</w:t>
      </w:r>
    </w:p>
    <w:p w:rsidR="00CC4184" w:rsidRPr="000B5D15" w:rsidRDefault="009C757E" w:rsidP="00A323D7">
      <w:pPr>
        <w:spacing w:line="240" w:lineRule="auto"/>
        <w:contextualSpacing/>
        <w:jc w:val="both"/>
        <w:rPr>
          <w:rFonts w:ascii="Arial" w:hAnsi="Arial" w:cs="Arial"/>
          <w:sz w:val="24"/>
          <w:szCs w:val="24"/>
          <w:lang w:val="es-ES_tradnl"/>
        </w:rPr>
      </w:pPr>
      <w:r>
        <w:rPr>
          <w:rFonts w:ascii="Arial" w:hAnsi="Arial" w:cs="Arial"/>
          <w:sz w:val="24"/>
          <w:szCs w:val="24"/>
          <w:lang w:val="es-ES_tradnl"/>
        </w:rPr>
        <w:t>En los</w:t>
      </w:r>
      <w:r w:rsidR="006843DB">
        <w:rPr>
          <w:rFonts w:ascii="Arial" w:hAnsi="Arial" w:cs="Arial"/>
          <w:sz w:val="24"/>
          <w:szCs w:val="24"/>
          <w:lang w:val="es-ES_tradnl"/>
        </w:rPr>
        <w:t xml:space="preserve"> mes</w:t>
      </w:r>
      <w:r>
        <w:rPr>
          <w:rFonts w:ascii="Arial" w:hAnsi="Arial" w:cs="Arial"/>
          <w:sz w:val="24"/>
          <w:szCs w:val="24"/>
          <w:lang w:val="es-ES_tradnl"/>
        </w:rPr>
        <w:t>es</w:t>
      </w:r>
      <w:r w:rsidR="006843DB">
        <w:rPr>
          <w:rFonts w:ascii="Arial" w:hAnsi="Arial" w:cs="Arial"/>
          <w:sz w:val="24"/>
          <w:szCs w:val="24"/>
          <w:lang w:val="es-ES_tradnl"/>
        </w:rPr>
        <w:t xml:space="preserve"> de</w:t>
      </w:r>
      <w:r>
        <w:rPr>
          <w:rFonts w:ascii="Arial" w:hAnsi="Arial" w:cs="Arial"/>
          <w:sz w:val="24"/>
          <w:szCs w:val="24"/>
          <w:lang w:val="es-ES_tradnl"/>
        </w:rPr>
        <w:t xml:space="preserve"> </w:t>
      </w:r>
      <w:r w:rsidR="000668D2">
        <w:rPr>
          <w:rFonts w:ascii="Arial" w:hAnsi="Arial" w:cs="Arial"/>
          <w:b/>
          <w:sz w:val="24"/>
          <w:szCs w:val="24"/>
          <w:lang w:val="es-ES_tradnl"/>
        </w:rPr>
        <w:t>enero</w:t>
      </w:r>
      <w:r w:rsidR="00A4356E">
        <w:rPr>
          <w:rFonts w:ascii="Arial" w:hAnsi="Arial" w:cs="Arial"/>
          <w:b/>
          <w:sz w:val="24"/>
          <w:szCs w:val="24"/>
          <w:lang w:val="es-ES_tradnl"/>
        </w:rPr>
        <w:t xml:space="preserve"> a </w:t>
      </w:r>
      <w:r w:rsidR="000668D2">
        <w:rPr>
          <w:rFonts w:ascii="Arial" w:hAnsi="Arial" w:cs="Arial"/>
          <w:b/>
          <w:sz w:val="24"/>
          <w:szCs w:val="24"/>
          <w:lang w:val="es-ES_tradnl"/>
        </w:rPr>
        <w:t>marzo</w:t>
      </w:r>
      <w:r w:rsidR="00B663FF">
        <w:rPr>
          <w:rFonts w:ascii="Arial" w:hAnsi="Arial" w:cs="Arial"/>
          <w:sz w:val="24"/>
          <w:szCs w:val="24"/>
          <w:lang w:val="es-ES_tradnl"/>
        </w:rPr>
        <w:t xml:space="preserve"> </w:t>
      </w:r>
      <w:r w:rsidR="000B5D15" w:rsidRPr="000B5D15">
        <w:rPr>
          <w:rFonts w:ascii="Arial" w:hAnsi="Arial" w:cs="Arial"/>
          <w:sz w:val="24"/>
          <w:szCs w:val="24"/>
          <w:lang w:val="es-ES_tradnl"/>
        </w:rPr>
        <w:t xml:space="preserve">del año en curso, se recibieron un total de </w:t>
      </w:r>
      <w:r w:rsidR="005F7A6D">
        <w:rPr>
          <w:rFonts w:ascii="Arial" w:hAnsi="Arial" w:cs="Arial"/>
          <w:b/>
          <w:sz w:val="24"/>
          <w:szCs w:val="24"/>
          <w:lang w:val="es-ES_tradnl"/>
        </w:rPr>
        <w:t>534</w:t>
      </w:r>
      <w:r w:rsidR="00C559DB" w:rsidRPr="00C559DB">
        <w:rPr>
          <w:rFonts w:ascii="Arial" w:hAnsi="Arial" w:cs="Arial"/>
          <w:b/>
          <w:sz w:val="24"/>
          <w:szCs w:val="24"/>
          <w:lang w:val="es-ES_tradnl"/>
        </w:rPr>
        <w:t xml:space="preserve"> </w:t>
      </w:r>
      <w:r w:rsidR="000B5D15" w:rsidRPr="00EF6323">
        <w:rPr>
          <w:rFonts w:ascii="Arial" w:hAnsi="Arial" w:cs="Arial"/>
          <w:sz w:val="24"/>
          <w:szCs w:val="24"/>
          <w:lang w:val="es-ES_tradnl"/>
        </w:rPr>
        <w:t>solicitudes</w:t>
      </w:r>
      <w:r w:rsidR="000B5D15" w:rsidRPr="000B5D15">
        <w:rPr>
          <w:rFonts w:ascii="Arial" w:hAnsi="Arial" w:cs="Arial"/>
          <w:sz w:val="24"/>
          <w:szCs w:val="24"/>
          <w:lang w:val="es-ES_tradnl"/>
        </w:rPr>
        <w:t xml:space="preserve"> de servicios</w:t>
      </w:r>
      <w:r w:rsidR="000B5D15">
        <w:rPr>
          <w:rFonts w:ascii="Arial" w:hAnsi="Arial" w:cs="Arial"/>
          <w:sz w:val="24"/>
          <w:szCs w:val="24"/>
          <w:lang w:val="es-ES_tradnl"/>
        </w:rPr>
        <w:t>, quedando de la siguiente manera:</w:t>
      </w:r>
    </w:p>
    <w:p w:rsidR="000B5D15" w:rsidRPr="000B5D15" w:rsidRDefault="000B5D15" w:rsidP="000B5D15">
      <w:pPr>
        <w:spacing w:line="240" w:lineRule="auto"/>
        <w:contextualSpacing/>
        <w:rPr>
          <w:rFonts w:ascii="Arial" w:hAnsi="Arial" w:cs="Arial"/>
          <w:sz w:val="24"/>
          <w:szCs w:val="24"/>
          <w:lang w:val="es-ES_tradnl"/>
        </w:rPr>
      </w:pPr>
    </w:p>
    <w:tbl>
      <w:tblPr>
        <w:tblStyle w:val="Tablaconcuadrcula"/>
        <w:tblpPr w:leftFromText="180" w:rightFromText="180" w:vertAnchor="page" w:horzAnchor="margin" w:tblpY="5258"/>
        <w:tblW w:w="0" w:type="auto"/>
        <w:tblLook w:val="04A0"/>
      </w:tblPr>
      <w:tblGrid>
        <w:gridCol w:w="1798"/>
        <w:gridCol w:w="1429"/>
        <w:gridCol w:w="1134"/>
        <w:gridCol w:w="1603"/>
        <w:gridCol w:w="2596"/>
        <w:gridCol w:w="1016"/>
      </w:tblGrid>
      <w:tr w:rsidR="00275170" w:rsidRPr="000633FF" w:rsidTr="009C757E">
        <w:trPr>
          <w:trHeight w:val="386"/>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275170">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MATERIA</w:t>
            </w:r>
          </w:p>
          <w:p w:rsidR="00275170" w:rsidRPr="000B5D15" w:rsidRDefault="00275170" w:rsidP="00275170">
            <w:pPr>
              <w:rPr>
                <w:rFonts w:ascii="Arial" w:hAnsi="Arial" w:cs="Arial"/>
                <w:sz w:val="24"/>
                <w:szCs w:val="24"/>
                <w:lang w:val="es-ES_tradnl"/>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FAMILIAR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CIVIL</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MERCANTIL</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sidRPr="000633FF">
              <w:rPr>
                <w:rFonts w:ascii="Arial" w:hAnsi="Arial" w:cs="Arial"/>
                <w:sz w:val="24"/>
                <w:szCs w:val="24"/>
                <w:lang w:val="es-ES_tradnl"/>
              </w:rPr>
              <w:t>ORIENTACIÓN Y CANALIZACIÓN</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b/>
                <w:sz w:val="24"/>
                <w:szCs w:val="24"/>
                <w:lang w:val="es-ES_tradnl"/>
              </w:rPr>
            </w:pPr>
            <w:r w:rsidRPr="000633FF">
              <w:rPr>
                <w:rFonts w:ascii="Arial" w:hAnsi="Arial" w:cs="Arial"/>
                <w:b/>
                <w:sz w:val="24"/>
                <w:szCs w:val="24"/>
                <w:lang w:val="es-ES_tradnl"/>
              </w:rPr>
              <w:t>TOTAL</w:t>
            </w:r>
          </w:p>
        </w:tc>
      </w:tr>
      <w:tr w:rsidR="00275170" w:rsidRPr="000633FF" w:rsidTr="009C757E">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A4356E">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TOTAL</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178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293</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21</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42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b/>
                <w:sz w:val="24"/>
                <w:szCs w:val="24"/>
                <w:lang w:val="es-ES_tradnl"/>
              </w:rPr>
            </w:pPr>
            <w:r>
              <w:rPr>
                <w:rFonts w:ascii="Arial" w:hAnsi="Arial" w:cs="Arial"/>
                <w:b/>
                <w:sz w:val="24"/>
                <w:szCs w:val="24"/>
                <w:lang w:val="es-ES_tradnl"/>
              </w:rPr>
              <w:t>534</w:t>
            </w:r>
          </w:p>
        </w:tc>
      </w:tr>
    </w:tbl>
    <w:p w:rsidR="00CC4184" w:rsidRPr="000B5D15" w:rsidRDefault="00CC4184" w:rsidP="00A4356E">
      <w:pPr>
        <w:jc w:val="center"/>
        <w:rPr>
          <w:lang w:val="es-ES_tradnl"/>
        </w:rPr>
      </w:pPr>
    </w:p>
    <w:p w:rsidR="003C7879" w:rsidRDefault="003C7879" w:rsidP="003C7879">
      <w:pPr>
        <w:jc w:val="center"/>
      </w:pPr>
    </w:p>
    <w:p w:rsidR="00275170" w:rsidRDefault="00275170" w:rsidP="003C7879">
      <w:pPr>
        <w:jc w:val="center"/>
      </w:pPr>
      <w:r w:rsidRPr="00275170">
        <w:rPr>
          <w:noProof/>
          <w:lang w:val="es-MX" w:eastAsia="es-MX"/>
        </w:rPr>
        <w:drawing>
          <wp:inline distT="0" distB="0" distL="0" distR="0">
            <wp:extent cx="5486400" cy="320040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79" w:rsidRDefault="003C7879" w:rsidP="003C7879">
      <w:pPr>
        <w:jc w:val="center"/>
        <w:rPr>
          <w:lang w:val="es-ES_tradnl"/>
        </w:rPr>
      </w:pPr>
    </w:p>
    <w:p w:rsidR="00CC4184" w:rsidRDefault="00CC4184" w:rsidP="00326A37">
      <w:pPr>
        <w:jc w:val="both"/>
        <w:rPr>
          <w:rFonts w:ascii="Arial" w:hAnsi="Arial" w:cs="Arial"/>
          <w:sz w:val="24"/>
          <w:szCs w:val="24"/>
          <w:lang w:val="es-ES_tradnl"/>
        </w:rPr>
      </w:pPr>
    </w:p>
    <w:p w:rsidR="00CC4184" w:rsidRPr="00C2540D" w:rsidRDefault="00CC4184" w:rsidP="00326A37">
      <w:pPr>
        <w:jc w:val="both"/>
        <w:rPr>
          <w:rFonts w:ascii="Arial" w:hAnsi="Arial" w:cs="Arial"/>
          <w:sz w:val="24"/>
          <w:szCs w:val="24"/>
          <w:lang w:val="es-ES_tradnl"/>
        </w:rPr>
      </w:pPr>
    </w:p>
    <w:p w:rsidR="00B25387" w:rsidRDefault="00B25387" w:rsidP="00326A37">
      <w:pPr>
        <w:jc w:val="both"/>
        <w:rPr>
          <w:rFonts w:ascii="Arial" w:hAnsi="Arial" w:cs="Arial"/>
          <w:sz w:val="24"/>
          <w:szCs w:val="24"/>
          <w:lang w:val="es-ES_tradnl"/>
        </w:rPr>
      </w:pPr>
    </w:p>
    <w:p w:rsidR="001B5710" w:rsidRDefault="001B5710" w:rsidP="00326A37">
      <w:pPr>
        <w:jc w:val="both"/>
        <w:rPr>
          <w:rFonts w:ascii="Arial" w:hAnsi="Arial" w:cs="Arial"/>
          <w:sz w:val="24"/>
          <w:szCs w:val="24"/>
          <w:lang w:val="es-ES_tradnl"/>
        </w:rPr>
      </w:pPr>
    </w:p>
    <w:p w:rsidR="00326A37" w:rsidRDefault="002619D0" w:rsidP="00326A37">
      <w:pPr>
        <w:jc w:val="both"/>
        <w:rPr>
          <w:rFonts w:ascii="Arial" w:hAnsi="Arial" w:cs="Arial"/>
          <w:sz w:val="24"/>
          <w:szCs w:val="24"/>
          <w:lang w:val="es-ES_tradnl"/>
        </w:rPr>
      </w:pPr>
      <w:r>
        <w:rPr>
          <w:rFonts w:ascii="Arial" w:hAnsi="Arial" w:cs="Arial"/>
          <w:sz w:val="24"/>
          <w:szCs w:val="24"/>
          <w:lang w:val="es-ES_tradnl"/>
        </w:rPr>
        <w:t xml:space="preserve">De los </w:t>
      </w:r>
      <w:r w:rsidR="008E4960">
        <w:rPr>
          <w:rFonts w:ascii="Arial" w:hAnsi="Arial" w:cs="Arial"/>
          <w:b/>
          <w:sz w:val="24"/>
          <w:szCs w:val="24"/>
          <w:lang w:val="es-ES_tradnl"/>
        </w:rPr>
        <w:t>492</w:t>
      </w:r>
      <w:r w:rsidR="002E209D">
        <w:rPr>
          <w:rFonts w:ascii="Arial" w:hAnsi="Arial" w:cs="Arial"/>
          <w:b/>
          <w:sz w:val="24"/>
          <w:szCs w:val="24"/>
          <w:lang w:val="es-ES_tradnl"/>
        </w:rPr>
        <w:t xml:space="preserve"> </w:t>
      </w:r>
      <w:r w:rsidR="00326A37" w:rsidRPr="00CC4184">
        <w:rPr>
          <w:rFonts w:ascii="Arial" w:hAnsi="Arial" w:cs="Arial"/>
          <w:sz w:val="24"/>
          <w:szCs w:val="24"/>
          <w:lang w:val="es-ES_tradnl"/>
        </w:rPr>
        <w:t xml:space="preserve">asuntos </w:t>
      </w:r>
      <w:r w:rsidR="00C33106">
        <w:rPr>
          <w:rFonts w:ascii="Arial" w:hAnsi="Arial" w:cs="Arial"/>
          <w:sz w:val="24"/>
          <w:szCs w:val="24"/>
          <w:lang w:val="es-ES_tradnl"/>
        </w:rPr>
        <w:t xml:space="preserve">competencia del Centro, </w:t>
      </w:r>
      <w:r w:rsidR="00AC4EE1">
        <w:rPr>
          <w:rFonts w:ascii="Arial" w:hAnsi="Arial" w:cs="Arial"/>
          <w:sz w:val="24"/>
          <w:szCs w:val="24"/>
          <w:lang w:val="es-ES_tradnl"/>
        </w:rPr>
        <w:t>178</w:t>
      </w:r>
      <w:r w:rsidR="00C241E4">
        <w:rPr>
          <w:rFonts w:ascii="Arial" w:hAnsi="Arial" w:cs="Arial"/>
          <w:b/>
          <w:sz w:val="24"/>
          <w:szCs w:val="24"/>
          <w:lang w:val="es-ES_tradnl"/>
        </w:rPr>
        <w:t xml:space="preserve"> </w:t>
      </w:r>
      <w:r w:rsidR="00C33106">
        <w:rPr>
          <w:rFonts w:ascii="Arial" w:hAnsi="Arial" w:cs="Arial"/>
          <w:sz w:val="24"/>
          <w:szCs w:val="24"/>
          <w:lang w:val="es-ES_tradnl"/>
        </w:rPr>
        <w:t xml:space="preserve">fueron </w:t>
      </w:r>
      <w:r w:rsidR="00C07C49">
        <w:rPr>
          <w:rFonts w:ascii="Arial" w:hAnsi="Arial" w:cs="Arial"/>
          <w:sz w:val="24"/>
          <w:szCs w:val="24"/>
          <w:lang w:val="es-ES_tradnl"/>
        </w:rPr>
        <w:t xml:space="preserve">en materia </w:t>
      </w:r>
      <w:r w:rsidR="00867AC4">
        <w:rPr>
          <w:rFonts w:ascii="Arial" w:hAnsi="Arial" w:cs="Arial"/>
          <w:sz w:val="24"/>
          <w:szCs w:val="24"/>
          <w:lang w:val="es-ES_tradnl"/>
        </w:rPr>
        <w:t xml:space="preserve">familiar, </w:t>
      </w:r>
      <w:r w:rsidR="00AC4EE1">
        <w:rPr>
          <w:rFonts w:ascii="Arial" w:hAnsi="Arial" w:cs="Arial"/>
          <w:sz w:val="24"/>
          <w:szCs w:val="24"/>
          <w:lang w:val="es-ES_tradnl"/>
        </w:rPr>
        <w:t>293</w:t>
      </w:r>
      <w:r w:rsidR="00ED1478">
        <w:rPr>
          <w:rFonts w:ascii="Arial" w:hAnsi="Arial" w:cs="Arial"/>
          <w:sz w:val="24"/>
          <w:szCs w:val="24"/>
          <w:lang w:val="es-ES_tradnl"/>
        </w:rPr>
        <w:t xml:space="preserve"> </w:t>
      </w:r>
      <w:r w:rsidR="00867AC4">
        <w:rPr>
          <w:rFonts w:ascii="Arial" w:hAnsi="Arial" w:cs="Arial"/>
          <w:sz w:val="24"/>
          <w:szCs w:val="24"/>
          <w:lang w:val="es-ES_tradnl"/>
        </w:rPr>
        <w:t xml:space="preserve">en materia civil y </w:t>
      </w:r>
      <w:r w:rsidR="00AC4EE1">
        <w:rPr>
          <w:rFonts w:ascii="Arial" w:hAnsi="Arial" w:cs="Arial"/>
          <w:sz w:val="24"/>
          <w:szCs w:val="24"/>
          <w:lang w:val="es-ES_tradnl"/>
        </w:rPr>
        <w:t>21</w:t>
      </w:r>
      <w:r w:rsidR="008E4960">
        <w:rPr>
          <w:rFonts w:ascii="Arial" w:hAnsi="Arial" w:cs="Arial"/>
          <w:b/>
          <w:sz w:val="24"/>
          <w:szCs w:val="24"/>
          <w:lang w:val="es-ES_tradnl"/>
        </w:rPr>
        <w:t xml:space="preserve"> </w:t>
      </w:r>
      <w:r w:rsidR="00867AC4">
        <w:rPr>
          <w:rFonts w:ascii="Arial" w:hAnsi="Arial" w:cs="Arial"/>
          <w:sz w:val="24"/>
          <w:szCs w:val="24"/>
          <w:lang w:val="es-ES_tradnl"/>
        </w:rPr>
        <w:t>en materia mercantil.</w:t>
      </w:r>
      <w:r w:rsidR="002E35B7">
        <w:rPr>
          <w:rFonts w:ascii="Arial" w:hAnsi="Arial" w:cs="Arial"/>
          <w:sz w:val="24"/>
          <w:szCs w:val="24"/>
          <w:lang w:val="es-ES_tradnl"/>
        </w:rPr>
        <w:t xml:space="preserve"> </w:t>
      </w:r>
    </w:p>
    <w:p w:rsidR="00C33106" w:rsidRDefault="00C33106" w:rsidP="00326A37">
      <w:pPr>
        <w:jc w:val="both"/>
        <w:rPr>
          <w:rFonts w:ascii="Arial" w:hAnsi="Arial" w:cs="Arial"/>
          <w:sz w:val="24"/>
          <w:szCs w:val="24"/>
          <w:lang w:val="es-ES_tradnl"/>
        </w:rPr>
      </w:pPr>
    </w:p>
    <w:tbl>
      <w:tblPr>
        <w:tblStyle w:val="Tablaconcuadrcula"/>
        <w:tblW w:w="0" w:type="auto"/>
        <w:tblInd w:w="1809" w:type="dxa"/>
        <w:tblLook w:val="04A0"/>
      </w:tblPr>
      <w:tblGrid>
        <w:gridCol w:w="2979"/>
        <w:gridCol w:w="2833"/>
      </w:tblGrid>
      <w:tr w:rsidR="00C33106" w:rsidTr="007F14FB">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Familiar</w:t>
            </w:r>
          </w:p>
        </w:tc>
        <w:tc>
          <w:tcPr>
            <w:tcW w:w="2833" w:type="dxa"/>
          </w:tcPr>
          <w:p w:rsidR="00C33106" w:rsidRPr="0019532C" w:rsidRDefault="00AC4EE1" w:rsidP="00AC4EE1">
            <w:pPr>
              <w:jc w:val="center"/>
              <w:rPr>
                <w:rFonts w:ascii="Arial" w:hAnsi="Arial" w:cs="Arial"/>
                <w:sz w:val="24"/>
                <w:szCs w:val="24"/>
                <w:lang w:val="es-ES_tradnl"/>
              </w:rPr>
            </w:pPr>
            <w:r>
              <w:rPr>
                <w:rFonts w:ascii="Arial" w:hAnsi="Arial" w:cs="Arial"/>
                <w:sz w:val="24"/>
                <w:szCs w:val="24"/>
                <w:lang w:val="es-ES_tradnl"/>
              </w:rPr>
              <w:t>178</w:t>
            </w:r>
          </w:p>
        </w:tc>
      </w:tr>
      <w:tr w:rsidR="00867AC4" w:rsidTr="007F14FB">
        <w:tc>
          <w:tcPr>
            <w:tcW w:w="2979" w:type="dxa"/>
          </w:tcPr>
          <w:p w:rsidR="00867AC4" w:rsidRDefault="00867AC4" w:rsidP="00326A37">
            <w:pPr>
              <w:jc w:val="both"/>
              <w:rPr>
                <w:rFonts w:ascii="Arial" w:hAnsi="Arial" w:cs="Arial"/>
                <w:sz w:val="24"/>
                <w:szCs w:val="24"/>
                <w:lang w:val="es-ES_tradnl"/>
              </w:rPr>
            </w:pPr>
            <w:r>
              <w:rPr>
                <w:rFonts w:ascii="Arial" w:hAnsi="Arial" w:cs="Arial"/>
                <w:sz w:val="24"/>
                <w:szCs w:val="24"/>
                <w:lang w:val="es-ES_tradnl"/>
              </w:rPr>
              <w:t>Civil</w:t>
            </w:r>
          </w:p>
        </w:tc>
        <w:tc>
          <w:tcPr>
            <w:tcW w:w="2833" w:type="dxa"/>
          </w:tcPr>
          <w:p w:rsidR="00867AC4" w:rsidRPr="0019532C" w:rsidRDefault="00AC4EE1" w:rsidP="00AC4EE1">
            <w:pPr>
              <w:jc w:val="center"/>
              <w:rPr>
                <w:rFonts w:ascii="Arial" w:hAnsi="Arial" w:cs="Arial"/>
                <w:sz w:val="24"/>
                <w:szCs w:val="24"/>
                <w:lang w:val="es-ES_tradnl"/>
              </w:rPr>
            </w:pPr>
            <w:r>
              <w:rPr>
                <w:rFonts w:ascii="Arial" w:hAnsi="Arial" w:cs="Arial"/>
                <w:sz w:val="24"/>
                <w:szCs w:val="24"/>
                <w:lang w:val="es-ES_tradnl"/>
              </w:rPr>
              <w:t>293</w:t>
            </w:r>
          </w:p>
        </w:tc>
      </w:tr>
      <w:tr w:rsidR="00C33106" w:rsidTr="007F14FB">
        <w:tc>
          <w:tcPr>
            <w:tcW w:w="2979" w:type="dxa"/>
          </w:tcPr>
          <w:p w:rsidR="00C33106" w:rsidRDefault="00867AC4" w:rsidP="00326A37">
            <w:pPr>
              <w:jc w:val="both"/>
              <w:rPr>
                <w:rFonts w:ascii="Arial" w:hAnsi="Arial" w:cs="Arial"/>
                <w:sz w:val="24"/>
                <w:szCs w:val="24"/>
                <w:lang w:val="es-ES_tradnl"/>
              </w:rPr>
            </w:pPr>
            <w:r>
              <w:rPr>
                <w:rFonts w:ascii="Arial" w:hAnsi="Arial" w:cs="Arial"/>
                <w:sz w:val="24"/>
                <w:szCs w:val="24"/>
                <w:lang w:val="es-ES_tradnl"/>
              </w:rPr>
              <w:t>Mercantil</w:t>
            </w:r>
          </w:p>
        </w:tc>
        <w:tc>
          <w:tcPr>
            <w:tcW w:w="2833" w:type="dxa"/>
          </w:tcPr>
          <w:p w:rsidR="00C33106" w:rsidRPr="0019532C" w:rsidRDefault="00AC4EE1" w:rsidP="00AC4EE1">
            <w:pPr>
              <w:jc w:val="center"/>
              <w:rPr>
                <w:rFonts w:ascii="Arial" w:hAnsi="Arial" w:cs="Arial"/>
                <w:sz w:val="24"/>
                <w:szCs w:val="24"/>
                <w:lang w:val="es-ES_tradnl"/>
              </w:rPr>
            </w:pPr>
            <w:r>
              <w:rPr>
                <w:rFonts w:ascii="Arial" w:hAnsi="Arial" w:cs="Arial"/>
                <w:sz w:val="24"/>
                <w:szCs w:val="24"/>
                <w:lang w:val="es-ES_tradnl"/>
              </w:rPr>
              <w:t>21</w:t>
            </w:r>
          </w:p>
        </w:tc>
      </w:tr>
      <w:tr w:rsidR="00C33106" w:rsidTr="007F14FB">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TOTAL</w:t>
            </w:r>
          </w:p>
        </w:tc>
        <w:tc>
          <w:tcPr>
            <w:tcW w:w="2833" w:type="dxa"/>
          </w:tcPr>
          <w:p w:rsidR="00C33106" w:rsidRPr="00C33106" w:rsidRDefault="00AC4EE1" w:rsidP="00AC4EE1">
            <w:pPr>
              <w:jc w:val="center"/>
              <w:rPr>
                <w:rFonts w:ascii="Arial" w:hAnsi="Arial" w:cs="Arial"/>
                <w:b/>
                <w:sz w:val="24"/>
                <w:szCs w:val="24"/>
                <w:lang w:val="es-ES_tradnl"/>
              </w:rPr>
            </w:pPr>
            <w:r>
              <w:rPr>
                <w:rFonts w:ascii="Arial" w:hAnsi="Arial" w:cs="Arial"/>
                <w:b/>
                <w:sz w:val="24"/>
                <w:szCs w:val="24"/>
                <w:lang w:val="es-ES_tradnl"/>
              </w:rPr>
              <w:t>492</w:t>
            </w:r>
          </w:p>
        </w:tc>
      </w:tr>
    </w:tbl>
    <w:p w:rsidR="00CC4184" w:rsidRDefault="00CC4184" w:rsidP="00326A37">
      <w:pPr>
        <w:jc w:val="both"/>
        <w:rPr>
          <w:lang w:val="es-ES_tradnl"/>
        </w:rPr>
      </w:pPr>
    </w:p>
    <w:p w:rsidR="000247C2" w:rsidRDefault="000247C2" w:rsidP="000247C2">
      <w:pPr>
        <w:jc w:val="center"/>
        <w:rPr>
          <w:lang w:val="es-ES_tradnl"/>
        </w:rPr>
      </w:pPr>
      <w:r>
        <w:rPr>
          <w:noProof/>
          <w:lang w:val="es-MX" w:eastAsia="es-MX"/>
        </w:rPr>
        <w:drawing>
          <wp:inline distT="0" distB="0" distL="0" distR="0">
            <wp:extent cx="4857750" cy="32385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D4" w:rsidRPr="00182AB9" w:rsidRDefault="00D846D4" w:rsidP="003C7879">
      <w:pPr>
        <w:jc w:val="center"/>
        <w:rPr>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9F1E7A" w:rsidRDefault="009F1E7A"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C4184" w:rsidRDefault="00C33106" w:rsidP="003C7879">
      <w:pPr>
        <w:spacing w:after="0" w:line="240" w:lineRule="auto"/>
        <w:jc w:val="center"/>
        <w:rPr>
          <w:rFonts w:ascii="Arial" w:hAnsi="Arial" w:cs="Arial"/>
          <w:sz w:val="24"/>
          <w:szCs w:val="24"/>
          <w:lang w:val="es-ES_tradnl"/>
        </w:rPr>
      </w:pPr>
      <w:r>
        <w:rPr>
          <w:rFonts w:ascii="Arial" w:hAnsi="Arial" w:cs="Arial"/>
          <w:sz w:val="24"/>
          <w:szCs w:val="24"/>
          <w:lang w:val="es-ES_tradnl"/>
        </w:rPr>
        <w:lastRenderedPageBreak/>
        <w:t>MATERIA FAMILIAR</w:t>
      </w:r>
    </w:p>
    <w:p w:rsidR="00CC4184" w:rsidRDefault="00CC4184" w:rsidP="003C7879">
      <w:pPr>
        <w:spacing w:after="0" w:line="240" w:lineRule="auto"/>
        <w:jc w:val="center"/>
        <w:rPr>
          <w:rFonts w:ascii="Arial" w:hAnsi="Arial" w:cs="Arial"/>
          <w:sz w:val="24"/>
          <w:szCs w:val="24"/>
          <w:lang w:val="es-ES_tradnl"/>
        </w:rPr>
      </w:pPr>
    </w:p>
    <w:p w:rsidR="006A657C"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D</w:t>
      </w:r>
      <w:r w:rsidR="00C07C49">
        <w:rPr>
          <w:rFonts w:ascii="Arial" w:hAnsi="Arial" w:cs="Arial"/>
          <w:sz w:val="24"/>
          <w:szCs w:val="24"/>
          <w:lang w:val="es-ES_tradnl"/>
        </w:rPr>
        <w:t xml:space="preserve">el total de asuntos </w:t>
      </w:r>
      <w:r w:rsidR="00075CEC">
        <w:rPr>
          <w:rFonts w:ascii="Arial" w:hAnsi="Arial" w:cs="Arial"/>
          <w:sz w:val="24"/>
          <w:szCs w:val="24"/>
          <w:lang w:val="es-ES_tradnl"/>
        </w:rPr>
        <w:t>competencia del Centro,</w:t>
      </w:r>
      <w:r w:rsidR="0042426A">
        <w:rPr>
          <w:rFonts w:ascii="Arial" w:hAnsi="Arial" w:cs="Arial"/>
          <w:sz w:val="24"/>
          <w:szCs w:val="24"/>
          <w:lang w:val="es-ES_tradnl"/>
        </w:rPr>
        <w:t xml:space="preserve"> </w:t>
      </w:r>
      <w:r w:rsidR="007C53C0">
        <w:rPr>
          <w:rFonts w:ascii="Arial" w:hAnsi="Arial" w:cs="Arial"/>
          <w:b/>
          <w:sz w:val="24"/>
          <w:szCs w:val="24"/>
          <w:lang w:val="es-ES_tradnl"/>
        </w:rPr>
        <w:t>178</w:t>
      </w:r>
      <w:r w:rsidR="002E209D">
        <w:rPr>
          <w:rFonts w:ascii="Arial" w:hAnsi="Arial" w:cs="Arial"/>
          <w:b/>
          <w:sz w:val="24"/>
          <w:szCs w:val="24"/>
          <w:lang w:val="es-ES_tradnl"/>
        </w:rPr>
        <w:t xml:space="preserve"> </w:t>
      </w:r>
      <w:r>
        <w:rPr>
          <w:rFonts w:ascii="Arial" w:hAnsi="Arial" w:cs="Arial"/>
          <w:sz w:val="24"/>
          <w:szCs w:val="24"/>
          <w:lang w:val="es-ES_tradnl"/>
        </w:rPr>
        <w:t>corresponden a la materia familiar, presentándose casuísticamente de la siguiente manera:</w:t>
      </w:r>
    </w:p>
    <w:p w:rsidR="006A657C" w:rsidRDefault="006A657C" w:rsidP="003C7879">
      <w:pPr>
        <w:spacing w:after="0" w:line="240" w:lineRule="auto"/>
        <w:jc w:val="center"/>
        <w:rPr>
          <w:rFonts w:ascii="Arial" w:hAnsi="Arial" w:cs="Arial"/>
          <w:sz w:val="24"/>
          <w:szCs w:val="24"/>
          <w:lang w:val="es-ES_tradnl"/>
        </w:rPr>
      </w:pPr>
    </w:p>
    <w:p w:rsidR="006A657C" w:rsidRDefault="006A657C" w:rsidP="003C7879">
      <w:pPr>
        <w:spacing w:after="0" w:line="240" w:lineRule="auto"/>
        <w:jc w:val="center"/>
        <w:rPr>
          <w:rFonts w:ascii="Arial" w:hAnsi="Arial" w:cs="Arial"/>
          <w:sz w:val="24"/>
          <w:szCs w:val="24"/>
          <w:lang w:val="es-ES_tradnl"/>
        </w:rPr>
      </w:pPr>
    </w:p>
    <w:tbl>
      <w:tblPr>
        <w:tblStyle w:val="Tablaconcuadrcula"/>
        <w:tblW w:w="0" w:type="auto"/>
        <w:jc w:val="center"/>
        <w:tblInd w:w="-4327" w:type="dxa"/>
        <w:tblLook w:val="04A0"/>
      </w:tblPr>
      <w:tblGrid>
        <w:gridCol w:w="6721"/>
        <w:gridCol w:w="2394"/>
      </w:tblGrid>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42426A" w:rsidP="00EB0206">
            <w:pPr>
              <w:spacing w:after="0" w:line="240" w:lineRule="auto"/>
              <w:rPr>
                <w:rFonts w:ascii="Arial" w:hAnsi="Arial" w:cs="Arial"/>
                <w:sz w:val="24"/>
                <w:szCs w:val="24"/>
                <w:lang w:val="es-ES_tradnl"/>
              </w:rPr>
            </w:pPr>
            <w:r>
              <w:rPr>
                <w:rFonts w:ascii="Arial" w:hAnsi="Arial" w:cs="Arial"/>
                <w:sz w:val="24"/>
                <w:szCs w:val="24"/>
                <w:lang w:val="es-ES_tradnl"/>
              </w:rPr>
              <w:t>Visitas y convivencia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7C53C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57</w:t>
            </w:r>
          </w:p>
        </w:tc>
      </w:tr>
      <w:tr w:rsidR="0042426A"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6A" w:rsidRDefault="0042426A" w:rsidP="00EB0206">
            <w:pPr>
              <w:spacing w:after="0" w:line="240" w:lineRule="auto"/>
              <w:rPr>
                <w:rFonts w:ascii="Arial" w:hAnsi="Arial" w:cs="Arial"/>
                <w:sz w:val="24"/>
                <w:szCs w:val="24"/>
                <w:lang w:val="es-ES_tradnl"/>
              </w:rPr>
            </w:pPr>
            <w:r>
              <w:rPr>
                <w:rFonts w:ascii="Arial" w:hAnsi="Arial" w:cs="Arial"/>
                <w:sz w:val="24"/>
                <w:szCs w:val="24"/>
                <w:lang w:val="es-ES_tradnl"/>
              </w:rPr>
              <w:t>Guarda y custodia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6A" w:rsidRDefault="007C53C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24</w:t>
            </w:r>
          </w:p>
        </w:tc>
      </w:tr>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867AC4" w:rsidP="00EB0206">
            <w:pPr>
              <w:spacing w:after="0" w:line="240" w:lineRule="auto"/>
              <w:rPr>
                <w:rFonts w:ascii="Arial" w:hAnsi="Arial" w:cs="Arial"/>
                <w:sz w:val="24"/>
                <w:szCs w:val="24"/>
                <w:lang w:val="es-ES_tradnl"/>
              </w:rPr>
            </w:pPr>
            <w:r>
              <w:rPr>
                <w:rFonts w:ascii="Arial" w:hAnsi="Arial" w:cs="Arial"/>
                <w:sz w:val="24"/>
                <w:szCs w:val="24"/>
                <w:lang w:val="es-ES_tradnl"/>
              </w:rPr>
              <w:t>P</w:t>
            </w:r>
            <w:r w:rsidR="00EB0206">
              <w:rPr>
                <w:rFonts w:ascii="Arial" w:hAnsi="Arial" w:cs="Arial"/>
                <w:sz w:val="24"/>
                <w:szCs w:val="24"/>
                <w:lang w:val="es-ES_tradnl"/>
              </w:rPr>
              <w:t>ensión alimenticia</w:t>
            </w:r>
            <w:r>
              <w:rPr>
                <w:rFonts w:ascii="Arial" w:hAnsi="Arial" w:cs="Arial"/>
                <w:sz w:val="24"/>
                <w:szCs w:val="24"/>
                <w:lang w:val="es-ES_tradnl"/>
              </w:rPr>
              <w:t xml:space="preserve"> de menores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7C53C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94</w:t>
            </w:r>
          </w:p>
        </w:tc>
      </w:tr>
      <w:tr w:rsidR="00B25387"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387" w:rsidRDefault="00867AC4" w:rsidP="00EB0206">
            <w:pPr>
              <w:spacing w:after="0" w:line="240" w:lineRule="auto"/>
              <w:rPr>
                <w:rFonts w:ascii="Arial" w:hAnsi="Arial" w:cs="Arial"/>
                <w:sz w:val="24"/>
                <w:szCs w:val="24"/>
                <w:lang w:val="es-ES_tradnl"/>
              </w:rPr>
            </w:pPr>
            <w:r>
              <w:rPr>
                <w:rFonts w:ascii="Arial" w:hAnsi="Arial" w:cs="Arial"/>
                <w:sz w:val="24"/>
                <w:szCs w:val="24"/>
                <w:lang w:val="es-ES_tradnl"/>
              </w:rPr>
              <w:t>Controversias del Orden Familiar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387" w:rsidRPr="000633FF" w:rsidRDefault="007C53C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2</w:t>
            </w:r>
          </w:p>
        </w:tc>
      </w:tr>
      <w:tr w:rsidR="007F3420"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420" w:rsidRDefault="007F3420" w:rsidP="00E55F90">
            <w:pPr>
              <w:spacing w:after="0" w:line="240" w:lineRule="atLeast"/>
              <w:jc w:val="both"/>
              <w:rPr>
                <w:rFonts w:ascii="Arial" w:hAnsi="Arial" w:cs="Arial"/>
                <w:sz w:val="24"/>
                <w:szCs w:val="24"/>
                <w:lang w:val="es-ES_tradnl"/>
              </w:rPr>
            </w:pPr>
            <w:r>
              <w:rPr>
                <w:rFonts w:ascii="Arial" w:hAnsi="Arial" w:cs="Arial"/>
                <w:sz w:val="24"/>
                <w:szCs w:val="24"/>
                <w:lang w:val="es-ES_tradnl"/>
              </w:rPr>
              <w:t>Otros asuntos</w:t>
            </w:r>
            <w:r w:rsidR="008F701D">
              <w:rPr>
                <w:rFonts w:ascii="Arial" w:hAnsi="Arial" w:cs="Arial"/>
                <w:sz w:val="24"/>
                <w:szCs w:val="24"/>
                <w:lang w:val="es-ES_tradnl"/>
              </w:rPr>
              <w:t xml:space="preserve"> (</w:t>
            </w:r>
            <w:r w:rsidR="00E55F90">
              <w:rPr>
                <w:sz w:val="24"/>
                <w:szCs w:val="24"/>
                <w:lang w:val="es-ES_tradnl"/>
              </w:rPr>
              <w:t>solicita ingresar a su domicilio conyugal por sus pertenencias</w:t>
            </w:r>
            <w:r w:rsidR="00867AC4">
              <w:rPr>
                <w:rFonts w:ascii="Arial" w:hAnsi="Arial" w:cs="Arial"/>
                <w:sz w:val="24"/>
                <w:szCs w:val="24"/>
                <w:lang w:val="es-ES_tradnl"/>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420" w:rsidRDefault="007C53C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3C7879" w:rsidP="000D303C">
            <w:pPr>
              <w:spacing w:after="0" w:line="240" w:lineRule="auto"/>
              <w:rPr>
                <w:rFonts w:ascii="Arial" w:hAnsi="Arial" w:cs="Arial"/>
                <w:b/>
                <w:sz w:val="24"/>
                <w:szCs w:val="24"/>
                <w:lang w:val="es-ES_tradnl"/>
              </w:rPr>
            </w:pPr>
            <w:r w:rsidRPr="000633FF">
              <w:rPr>
                <w:rFonts w:ascii="Arial" w:hAnsi="Arial" w:cs="Arial"/>
                <w:b/>
                <w:sz w:val="24"/>
                <w:szCs w:val="24"/>
                <w:lang w:val="es-ES_tradnl"/>
              </w:rPr>
              <w:t>TOTAL</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5E21F4" w:rsidP="00ED1478">
            <w:pPr>
              <w:spacing w:after="0" w:line="240" w:lineRule="auto"/>
              <w:jc w:val="center"/>
              <w:rPr>
                <w:rFonts w:ascii="Arial" w:hAnsi="Arial" w:cs="Arial"/>
                <w:b/>
                <w:sz w:val="24"/>
                <w:szCs w:val="24"/>
                <w:lang w:val="es-ES_tradnl"/>
              </w:rPr>
            </w:pPr>
            <w:r>
              <w:rPr>
                <w:rFonts w:ascii="Arial" w:hAnsi="Arial" w:cs="Arial"/>
                <w:b/>
                <w:sz w:val="24"/>
                <w:szCs w:val="24"/>
                <w:lang w:val="es-ES_tradnl"/>
              </w:rPr>
              <w:t>178</w:t>
            </w:r>
          </w:p>
        </w:tc>
      </w:tr>
    </w:tbl>
    <w:p w:rsidR="003C7879" w:rsidRPr="000633FF" w:rsidRDefault="003C7879" w:rsidP="003C7879">
      <w:pPr>
        <w:spacing w:after="0" w:line="240" w:lineRule="auto"/>
        <w:ind w:left="567" w:firstLine="142"/>
        <w:rPr>
          <w:rFonts w:ascii="Arial" w:hAnsi="Arial" w:cs="Arial"/>
          <w:sz w:val="24"/>
          <w:szCs w:val="24"/>
          <w:lang w:val="es-ES_tradnl"/>
        </w:rPr>
      </w:pPr>
      <w:r w:rsidRPr="000633FF">
        <w:rPr>
          <w:rFonts w:ascii="Arial" w:hAnsi="Arial" w:cs="Arial"/>
          <w:sz w:val="24"/>
          <w:szCs w:val="24"/>
          <w:lang w:val="es-ES_tradnl"/>
        </w:rPr>
        <w:t xml:space="preserve">   </w:t>
      </w:r>
    </w:p>
    <w:p w:rsidR="003C7879" w:rsidRPr="00D84DC2" w:rsidRDefault="003C7879" w:rsidP="0042426A">
      <w:pPr>
        <w:spacing w:after="0" w:line="240" w:lineRule="auto"/>
        <w:ind w:left="567" w:firstLine="142"/>
        <w:rPr>
          <w:sz w:val="24"/>
          <w:szCs w:val="24"/>
          <w:lang w:val="es-ES_tradnl"/>
        </w:rPr>
      </w:pPr>
      <w:r>
        <w:rPr>
          <w:sz w:val="24"/>
          <w:szCs w:val="24"/>
          <w:lang w:val="es-ES_tradnl"/>
        </w:rPr>
        <w:t xml:space="preserve">        </w:t>
      </w:r>
      <w:r w:rsidRPr="008D4AD5">
        <w:rPr>
          <w:noProof/>
          <w:sz w:val="24"/>
          <w:szCs w:val="24"/>
          <w:lang w:val="es-MX" w:eastAsia="es-MX"/>
        </w:rPr>
        <w:drawing>
          <wp:inline distT="0" distB="0" distL="0" distR="0">
            <wp:extent cx="4924910" cy="4943959"/>
            <wp:effectExtent l="19050" t="0" r="28090" b="9041"/>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879" w:rsidRDefault="003C7879" w:rsidP="003C7879">
      <w:pPr>
        <w:jc w:val="center"/>
        <w:rPr>
          <w:rFonts w:ascii="Arial" w:hAnsi="Arial" w:cs="Arial"/>
          <w:sz w:val="24"/>
          <w:szCs w:val="24"/>
          <w:lang w:val="es-ES_tradnl"/>
        </w:rPr>
      </w:pPr>
      <w:r>
        <w:rPr>
          <w:rFonts w:ascii="Arial" w:hAnsi="Arial" w:cs="Arial"/>
          <w:sz w:val="24"/>
          <w:szCs w:val="24"/>
          <w:lang w:val="es-ES_tradnl"/>
        </w:rPr>
        <w:t xml:space="preserve">                      </w:t>
      </w:r>
    </w:p>
    <w:p w:rsidR="003C7879" w:rsidRDefault="003C7879"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                </w:t>
      </w:r>
    </w:p>
    <w:p w:rsidR="003C7879" w:rsidRDefault="003C7879" w:rsidP="003C7879">
      <w:pPr>
        <w:spacing w:after="0" w:line="240" w:lineRule="auto"/>
        <w:jc w:val="center"/>
        <w:rPr>
          <w:rFonts w:ascii="Arial" w:hAnsi="Arial" w:cs="Arial"/>
          <w:sz w:val="24"/>
          <w:szCs w:val="24"/>
          <w:lang w:val="es-ES_tradnl"/>
        </w:rPr>
      </w:pPr>
    </w:p>
    <w:p w:rsidR="00CC4184" w:rsidRDefault="00CC4184" w:rsidP="00CC4184">
      <w:pPr>
        <w:spacing w:after="0" w:line="240" w:lineRule="auto"/>
        <w:jc w:val="center"/>
        <w:rPr>
          <w:rFonts w:ascii="Arial" w:hAnsi="Arial" w:cs="Arial"/>
          <w:sz w:val="24"/>
          <w:szCs w:val="24"/>
          <w:lang w:val="es-ES_tradnl"/>
        </w:rPr>
      </w:pPr>
      <w:r>
        <w:rPr>
          <w:rFonts w:ascii="Arial" w:hAnsi="Arial" w:cs="Arial"/>
          <w:sz w:val="24"/>
          <w:szCs w:val="24"/>
          <w:lang w:val="es-ES_tradnl"/>
        </w:rPr>
        <w:t>ETAPA EN LA QUE SE ENCUENTRAN:</w:t>
      </w:r>
    </w:p>
    <w:p w:rsidR="00EB0206" w:rsidRDefault="00EB0206" w:rsidP="00CC4184">
      <w:pPr>
        <w:spacing w:after="0" w:line="240" w:lineRule="auto"/>
        <w:jc w:val="center"/>
        <w:rPr>
          <w:rFonts w:ascii="Arial" w:hAnsi="Arial" w:cs="Arial"/>
          <w:sz w:val="24"/>
          <w:szCs w:val="24"/>
          <w:lang w:val="es-ES_tradnl"/>
        </w:rPr>
      </w:pPr>
    </w:p>
    <w:p w:rsidR="006A657C" w:rsidRDefault="001B6D70" w:rsidP="00C072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562F84">
        <w:rPr>
          <w:rFonts w:ascii="Arial" w:hAnsi="Arial" w:cs="Arial"/>
          <w:b/>
          <w:sz w:val="24"/>
          <w:szCs w:val="24"/>
          <w:lang w:val="es-ES_tradnl"/>
        </w:rPr>
        <w:t>178</w:t>
      </w:r>
      <w:r w:rsidR="002E209D">
        <w:rPr>
          <w:rFonts w:ascii="Arial" w:hAnsi="Arial" w:cs="Arial"/>
          <w:b/>
          <w:sz w:val="24"/>
          <w:szCs w:val="24"/>
          <w:lang w:val="es-ES_tradnl"/>
        </w:rPr>
        <w:t xml:space="preserve"> </w:t>
      </w:r>
      <w:r w:rsidR="00C0722B">
        <w:rPr>
          <w:rFonts w:ascii="Arial" w:hAnsi="Arial" w:cs="Arial"/>
          <w:sz w:val="24"/>
          <w:szCs w:val="24"/>
          <w:lang w:val="es-ES_tradnl"/>
        </w:rPr>
        <w:t>invitaciones relativas a la materia familiar, de las cuales, fu</w:t>
      </w:r>
      <w:r w:rsidR="006A657C">
        <w:rPr>
          <w:rFonts w:ascii="Arial" w:hAnsi="Arial" w:cs="Arial"/>
          <w:sz w:val="24"/>
          <w:szCs w:val="24"/>
          <w:lang w:val="es-ES_tradnl"/>
        </w:rPr>
        <w:t>eron aceptadas por la contraparte para iniciación de procedimiento</w:t>
      </w:r>
      <w:r w:rsidR="00C9219B">
        <w:rPr>
          <w:rFonts w:ascii="Arial" w:hAnsi="Arial" w:cs="Arial"/>
          <w:sz w:val="24"/>
          <w:szCs w:val="24"/>
          <w:lang w:val="es-ES_tradnl"/>
        </w:rPr>
        <w:t xml:space="preserve"> </w:t>
      </w:r>
      <w:r w:rsidR="00562F84">
        <w:rPr>
          <w:rFonts w:ascii="Arial" w:hAnsi="Arial" w:cs="Arial"/>
          <w:b/>
          <w:sz w:val="24"/>
          <w:szCs w:val="24"/>
          <w:lang w:val="es-ES_tradnl"/>
        </w:rPr>
        <w:t>169</w:t>
      </w:r>
      <w:r w:rsidR="00DF464A">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3D2355">
        <w:rPr>
          <w:rFonts w:ascii="Arial" w:hAnsi="Arial" w:cs="Arial"/>
          <w:b/>
          <w:sz w:val="24"/>
          <w:szCs w:val="24"/>
          <w:lang w:val="es-ES_tradnl"/>
        </w:rPr>
        <w:t>(</w:t>
      </w:r>
      <w:r w:rsidR="00390774">
        <w:rPr>
          <w:rFonts w:ascii="Arial" w:hAnsi="Arial" w:cs="Arial"/>
          <w:b/>
          <w:sz w:val="24"/>
          <w:szCs w:val="24"/>
          <w:lang w:val="es-ES_tradnl"/>
        </w:rPr>
        <w:t>9</w:t>
      </w:r>
      <w:r w:rsidR="006A657C" w:rsidRPr="003D2355">
        <w:rPr>
          <w:rFonts w:ascii="Arial" w:hAnsi="Arial" w:cs="Arial"/>
          <w:b/>
          <w:sz w:val="24"/>
          <w:szCs w:val="24"/>
          <w:lang w:val="es-ES_tradnl"/>
        </w:rPr>
        <w:t>),</w:t>
      </w:r>
      <w:r w:rsidR="006A657C">
        <w:rPr>
          <w:rFonts w:ascii="Arial" w:hAnsi="Arial" w:cs="Arial"/>
          <w:sz w:val="24"/>
          <w:szCs w:val="24"/>
          <w:lang w:val="es-ES_tradnl"/>
        </w:rPr>
        <w:t xml:space="preserve"> fueron </w:t>
      </w:r>
      <w:r w:rsidR="005D77B6">
        <w:rPr>
          <w:rFonts w:ascii="Arial" w:hAnsi="Arial" w:cs="Arial"/>
          <w:sz w:val="24"/>
          <w:szCs w:val="24"/>
          <w:lang w:val="es-ES_tradnl"/>
        </w:rPr>
        <w:t>n</w:t>
      </w:r>
      <w:r w:rsidR="006A657C">
        <w:rPr>
          <w:rFonts w:ascii="Arial" w:hAnsi="Arial" w:cs="Arial"/>
          <w:sz w:val="24"/>
          <w:szCs w:val="24"/>
          <w:lang w:val="es-ES_tradnl"/>
        </w:rPr>
        <w:t>o aceptadas</w:t>
      </w:r>
      <w:r w:rsidR="00EB0206">
        <w:rPr>
          <w:rFonts w:ascii="Arial" w:hAnsi="Arial" w:cs="Arial"/>
          <w:sz w:val="24"/>
          <w:szCs w:val="24"/>
          <w:lang w:val="es-ES_tradnl"/>
        </w:rPr>
        <w:t>.</w:t>
      </w:r>
    </w:p>
    <w:p w:rsidR="00EB0206" w:rsidRDefault="00EB0206" w:rsidP="006A657C">
      <w:pPr>
        <w:spacing w:after="0" w:line="240" w:lineRule="auto"/>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B96D79" w:rsidRPr="0019532C" w:rsidRDefault="0019532C" w:rsidP="00ED1478">
            <w:pPr>
              <w:spacing w:after="0" w:line="240" w:lineRule="auto"/>
              <w:jc w:val="center"/>
              <w:rPr>
                <w:rFonts w:ascii="Arial" w:hAnsi="Arial" w:cs="Arial"/>
                <w:sz w:val="24"/>
                <w:szCs w:val="24"/>
                <w:lang w:val="es-ES_tradnl"/>
              </w:rPr>
            </w:pPr>
            <w:r w:rsidRPr="0019532C">
              <w:rPr>
                <w:rFonts w:ascii="Arial" w:hAnsi="Arial" w:cs="Arial"/>
                <w:sz w:val="24"/>
                <w:szCs w:val="24"/>
                <w:lang w:val="es-ES_tradnl"/>
              </w:rPr>
              <w:t>1</w:t>
            </w:r>
            <w:r w:rsidR="00562F84">
              <w:rPr>
                <w:rFonts w:ascii="Arial" w:hAnsi="Arial" w:cs="Arial"/>
                <w:sz w:val="24"/>
                <w:szCs w:val="24"/>
                <w:lang w:val="es-ES_tradnl"/>
              </w:rPr>
              <w:t>69</w:t>
            </w:r>
          </w:p>
        </w:tc>
      </w:tr>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B96D79" w:rsidP="006A657C">
            <w:pPr>
              <w:spacing w:after="0" w:line="240" w:lineRule="auto"/>
              <w:rPr>
                <w:rFonts w:ascii="Arial" w:hAnsi="Arial" w:cs="Arial"/>
                <w:sz w:val="24"/>
                <w:szCs w:val="24"/>
                <w:lang w:val="es-ES_tradnl"/>
              </w:rPr>
            </w:pPr>
            <w:r>
              <w:rPr>
                <w:rFonts w:ascii="Arial" w:hAnsi="Arial" w:cs="Arial"/>
                <w:sz w:val="24"/>
                <w:szCs w:val="24"/>
                <w:lang w:val="es-ES_tradnl"/>
              </w:rPr>
              <w:t>N</w:t>
            </w:r>
            <w:r w:rsidR="006A657C">
              <w:rPr>
                <w:rFonts w:ascii="Arial" w:hAnsi="Arial" w:cs="Arial"/>
                <w:sz w:val="24"/>
                <w:szCs w:val="24"/>
                <w:lang w:val="es-ES_tradnl"/>
              </w:rPr>
              <w:t>o aceptadas</w:t>
            </w:r>
          </w:p>
        </w:tc>
        <w:tc>
          <w:tcPr>
            <w:tcW w:w="1274" w:type="dxa"/>
            <w:vAlign w:val="bottom"/>
          </w:tcPr>
          <w:p w:rsidR="00B96D79" w:rsidRPr="0019532C" w:rsidRDefault="00390774"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A76B56" w:rsidTr="001B6D70">
        <w:trPr>
          <w:jc w:val="center"/>
        </w:trPr>
        <w:tc>
          <w:tcPr>
            <w:tcW w:w="4788" w:type="dxa"/>
          </w:tcPr>
          <w:p w:rsidR="00C33106" w:rsidRDefault="00C33106" w:rsidP="000D303C">
            <w:pPr>
              <w:spacing w:after="0" w:line="240" w:lineRule="auto"/>
              <w:rPr>
                <w:rFonts w:ascii="Arial" w:hAnsi="Arial" w:cs="Arial"/>
                <w:b/>
                <w:sz w:val="24"/>
                <w:szCs w:val="24"/>
                <w:lang w:val="es-ES_tradnl"/>
              </w:rPr>
            </w:pPr>
          </w:p>
          <w:p w:rsidR="00A76B56" w:rsidRPr="00A76B56" w:rsidRDefault="006B623D" w:rsidP="006B623D">
            <w:pPr>
              <w:spacing w:after="0" w:line="240" w:lineRule="auto"/>
              <w:rPr>
                <w:rFonts w:ascii="Arial" w:hAnsi="Arial" w:cs="Arial"/>
                <w:b/>
                <w:sz w:val="24"/>
                <w:szCs w:val="24"/>
                <w:lang w:val="es-ES_tradnl"/>
              </w:rPr>
            </w:pPr>
            <w:r>
              <w:rPr>
                <w:rFonts w:ascii="Arial" w:hAnsi="Arial" w:cs="Arial"/>
                <w:b/>
                <w:sz w:val="24"/>
                <w:szCs w:val="24"/>
                <w:lang w:val="es-ES_tradnl"/>
              </w:rPr>
              <w:t>Invitaciones giradas</w:t>
            </w:r>
          </w:p>
        </w:tc>
        <w:tc>
          <w:tcPr>
            <w:tcW w:w="1274" w:type="dxa"/>
            <w:vAlign w:val="bottom"/>
          </w:tcPr>
          <w:p w:rsidR="003D2355" w:rsidRPr="00B96D79" w:rsidRDefault="00562F84" w:rsidP="00ED1478">
            <w:pPr>
              <w:spacing w:after="0" w:line="240" w:lineRule="auto"/>
              <w:jc w:val="center"/>
              <w:rPr>
                <w:rFonts w:ascii="Arial" w:hAnsi="Arial" w:cs="Arial"/>
                <w:b/>
                <w:sz w:val="24"/>
                <w:szCs w:val="24"/>
                <w:lang w:val="es-ES_tradnl"/>
              </w:rPr>
            </w:pPr>
            <w:r>
              <w:rPr>
                <w:rFonts w:ascii="Arial" w:hAnsi="Arial" w:cs="Arial"/>
                <w:b/>
                <w:sz w:val="24"/>
                <w:szCs w:val="24"/>
                <w:lang w:val="es-ES_tradnl"/>
              </w:rPr>
              <w:t>178</w:t>
            </w:r>
          </w:p>
        </w:tc>
      </w:tr>
    </w:tbl>
    <w:p w:rsidR="00B96D79" w:rsidRDefault="00B96D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D97E21"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879" w:rsidRDefault="000C4819" w:rsidP="003C7879">
      <w:pPr>
        <w:spacing w:after="0" w:line="240" w:lineRule="auto"/>
        <w:jc w:val="center"/>
        <w:rPr>
          <w:rFonts w:ascii="Arial" w:hAnsi="Arial" w:cs="Arial"/>
          <w:sz w:val="24"/>
          <w:szCs w:val="24"/>
          <w:lang w:val="es-ES_tradnl"/>
        </w:rPr>
      </w:pPr>
      <w:r w:rsidRPr="000C4819">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pt;margin-top:.25pt;width:6in;height:0;z-index:251658240" o:connectortype="straight"/>
        </w:pict>
      </w:r>
    </w:p>
    <w:p w:rsidR="003C7879" w:rsidRDefault="003C7879"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7F57F7" w:rsidRDefault="007F57F7" w:rsidP="00CC265D">
      <w:pPr>
        <w:spacing w:after="0" w:line="240" w:lineRule="auto"/>
        <w:rPr>
          <w:rFonts w:ascii="Arial" w:hAnsi="Arial" w:cs="Arial"/>
          <w:sz w:val="24"/>
          <w:szCs w:val="24"/>
          <w:lang w:val="es-ES_tradnl"/>
        </w:rPr>
      </w:pPr>
    </w:p>
    <w:p w:rsidR="003C7879" w:rsidRPr="00C241E4" w:rsidRDefault="007F3420" w:rsidP="00CC265D">
      <w:pPr>
        <w:spacing w:after="0" w:line="240" w:lineRule="auto"/>
        <w:rPr>
          <w:rFonts w:ascii="Arial" w:hAnsi="Arial" w:cs="Arial"/>
          <w:b/>
          <w:sz w:val="24"/>
          <w:szCs w:val="24"/>
          <w:lang w:val="es-ES_tradnl"/>
        </w:rPr>
      </w:pPr>
      <w:r>
        <w:rPr>
          <w:rFonts w:ascii="Arial" w:hAnsi="Arial" w:cs="Arial"/>
          <w:sz w:val="24"/>
          <w:szCs w:val="24"/>
          <w:lang w:val="es-ES_tradnl"/>
        </w:rPr>
        <w:t>De las</w:t>
      </w:r>
      <w:r w:rsidRPr="00035F11">
        <w:rPr>
          <w:rFonts w:ascii="Arial" w:hAnsi="Arial" w:cs="Arial"/>
          <w:b/>
          <w:sz w:val="24"/>
          <w:szCs w:val="24"/>
          <w:lang w:val="es-ES_tradnl"/>
        </w:rPr>
        <w:t xml:space="preserve"> </w:t>
      </w:r>
      <w:r w:rsidR="00CA5A7B">
        <w:rPr>
          <w:rFonts w:ascii="Arial" w:hAnsi="Arial" w:cs="Arial"/>
          <w:b/>
          <w:sz w:val="24"/>
          <w:szCs w:val="24"/>
          <w:lang w:val="es-ES_tradnl"/>
        </w:rPr>
        <w:t>169</w:t>
      </w:r>
      <w:r w:rsidR="00084F10">
        <w:rPr>
          <w:rFonts w:ascii="Arial" w:hAnsi="Arial" w:cs="Arial"/>
          <w:b/>
          <w:sz w:val="24"/>
          <w:szCs w:val="24"/>
          <w:lang w:val="es-ES_tradnl"/>
        </w:rPr>
        <w:t xml:space="preserve"> </w:t>
      </w:r>
      <w:r w:rsidR="00CC265D">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 el siguiente</w:t>
      </w:r>
      <w:r w:rsidR="00CC265D">
        <w:rPr>
          <w:rFonts w:ascii="Arial" w:hAnsi="Arial" w:cs="Arial"/>
          <w:sz w:val="24"/>
          <w:szCs w:val="24"/>
          <w:lang w:val="es-ES_tradnl"/>
        </w:rPr>
        <w:t>:</w:t>
      </w:r>
    </w:p>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tbl>
      <w:tblPr>
        <w:tblStyle w:val="Tablaconcuadrcula"/>
        <w:tblpPr w:leftFromText="180" w:rightFromText="180" w:vertAnchor="text" w:horzAnchor="margin" w:tblpXSpec="center" w:tblpY="-31"/>
        <w:tblW w:w="0" w:type="auto"/>
        <w:tblLook w:val="04A0"/>
      </w:tblPr>
      <w:tblGrid>
        <w:gridCol w:w="4788"/>
        <w:gridCol w:w="1274"/>
      </w:tblGrid>
      <w:tr w:rsidR="00C33106"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por Convenio</w:t>
            </w:r>
            <w:r w:rsidR="007F57F7" w:rsidRPr="003F7322">
              <w:rPr>
                <w:rFonts w:ascii="Arial" w:hAnsi="Arial" w:cs="Arial"/>
                <w:sz w:val="24"/>
                <w:szCs w:val="24"/>
                <w:lang w:val="es-ES_tradnl"/>
              </w:rPr>
              <w:t xml:space="preserve"> </w:t>
            </w:r>
          </w:p>
        </w:tc>
        <w:tc>
          <w:tcPr>
            <w:tcW w:w="1274" w:type="dxa"/>
            <w:vAlign w:val="bottom"/>
          </w:tcPr>
          <w:p w:rsidR="00C33106" w:rsidRPr="0019532C" w:rsidRDefault="00CA5A7B"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62</w:t>
            </w:r>
          </w:p>
        </w:tc>
      </w:tr>
      <w:tr w:rsidR="009E45C8" w:rsidTr="005A51AF">
        <w:tc>
          <w:tcPr>
            <w:tcW w:w="4788" w:type="dxa"/>
            <w:vAlign w:val="bottom"/>
          </w:tcPr>
          <w:p w:rsidR="009E45C8"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 Exitosamente</w:t>
            </w:r>
          </w:p>
        </w:tc>
        <w:tc>
          <w:tcPr>
            <w:tcW w:w="1274" w:type="dxa"/>
            <w:vAlign w:val="bottom"/>
          </w:tcPr>
          <w:p w:rsidR="009E45C8" w:rsidRPr="0019532C" w:rsidRDefault="00CA5A7B" w:rsidP="009C757E">
            <w:pPr>
              <w:spacing w:after="0" w:line="240" w:lineRule="auto"/>
              <w:jc w:val="center"/>
              <w:rPr>
                <w:rFonts w:ascii="Arial" w:hAnsi="Arial" w:cs="Arial"/>
                <w:sz w:val="24"/>
                <w:szCs w:val="24"/>
                <w:lang w:val="es-ES_tradnl"/>
              </w:rPr>
            </w:pPr>
            <w:r>
              <w:rPr>
                <w:rFonts w:ascii="Arial" w:hAnsi="Arial" w:cs="Arial"/>
                <w:sz w:val="24"/>
                <w:szCs w:val="24"/>
                <w:lang w:val="es-ES_tradnl"/>
              </w:rPr>
              <w:t>8</w:t>
            </w:r>
          </w:p>
        </w:tc>
      </w:tr>
      <w:tr w:rsidR="00C33106" w:rsidRPr="007D7A44"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C33106" w:rsidP="00C33106">
            <w:pPr>
              <w:spacing w:after="0" w:line="240" w:lineRule="auto"/>
              <w:rPr>
                <w:rFonts w:ascii="Arial" w:hAnsi="Arial" w:cs="Arial"/>
                <w:sz w:val="24"/>
                <w:szCs w:val="24"/>
                <w:lang w:val="es-ES_tradnl"/>
              </w:rPr>
            </w:pPr>
            <w:r w:rsidRPr="003F7322">
              <w:rPr>
                <w:rFonts w:ascii="Arial" w:hAnsi="Arial" w:cs="Arial"/>
                <w:sz w:val="24"/>
                <w:szCs w:val="24"/>
                <w:lang w:val="es-ES_tradnl"/>
              </w:rPr>
              <w:t>En etapa de procedimiento</w:t>
            </w:r>
          </w:p>
        </w:tc>
        <w:tc>
          <w:tcPr>
            <w:tcW w:w="1274" w:type="dxa"/>
            <w:vAlign w:val="bottom"/>
          </w:tcPr>
          <w:p w:rsidR="00CE1D36" w:rsidRPr="0019532C" w:rsidRDefault="00CA5A7B"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99</w:t>
            </w:r>
          </w:p>
        </w:tc>
      </w:tr>
      <w:tr w:rsidR="00C33106" w:rsidTr="00ED73D4">
        <w:tc>
          <w:tcPr>
            <w:tcW w:w="4788" w:type="dxa"/>
          </w:tcPr>
          <w:p w:rsidR="00C33106" w:rsidRPr="003F7322" w:rsidRDefault="00C33106" w:rsidP="00C33106">
            <w:pPr>
              <w:spacing w:after="0" w:line="240" w:lineRule="auto"/>
              <w:rPr>
                <w:rFonts w:ascii="Arial" w:hAnsi="Arial" w:cs="Arial"/>
                <w:b/>
                <w:sz w:val="24"/>
                <w:szCs w:val="24"/>
                <w:lang w:val="es-ES_tradnl"/>
              </w:rPr>
            </w:pPr>
          </w:p>
          <w:p w:rsidR="00C33106" w:rsidRPr="003F7322" w:rsidRDefault="00C33106" w:rsidP="00C33106">
            <w:pPr>
              <w:spacing w:after="0" w:line="240" w:lineRule="auto"/>
              <w:rPr>
                <w:rFonts w:ascii="Arial" w:hAnsi="Arial" w:cs="Arial"/>
                <w:b/>
                <w:sz w:val="24"/>
                <w:szCs w:val="24"/>
                <w:lang w:val="es-ES_tradnl"/>
              </w:rPr>
            </w:pPr>
            <w:r w:rsidRPr="003F7322">
              <w:rPr>
                <w:rFonts w:ascii="Arial" w:hAnsi="Arial" w:cs="Arial"/>
                <w:b/>
                <w:sz w:val="24"/>
                <w:szCs w:val="24"/>
                <w:lang w:val="es-ES_tradnl"/>
              </w:rPr>
              <w:t>TOTAL</w:t>
            </w:r>
          </w:p>
        </w:tc>
        <w:tc>
          <w:tcPr>
            <w:tcW w:w="1274" w:type="dxa"/>
            <w:shd w:val="clear" w:color="auto" w:fill="auto"/>
            <w:vAlign w:val="bottom"/>
          </w:tcPr>
          <w:p w:rsidR="00C33106" w:rsidRPr="00ED73D4" w:rsidRDefault="00CA5A7B" w:rsidP="00E14CBC">
            <w:pPr>
              <w:spacing w:after="0" w:line="240" w:lineRule="auto"/>
              <w:jc w:val="center"/>
              <w:rPr>
                <w:rFonts w:ascii="Arial" w:hAnsi="Arial" w:cs="Arial"/>
                <w:b/>
                <w:sz w:val="24"/>
                <w:szCs w:val="24"/>
                <w:highlight w:val="red"/>
                <w:lang w:val="es-ES_tradnl"/>
              </w:rPr>
            </w:pPr>
            <w:r>
              <w:rPr>
                <w:rFonts w:ascii="Arial" w:hAnsi="Arial" w:cs="Arial"/>
                <w:b/>
                <w:sz w:val="24"/>
                <w:szCs w:val="24"/>
                <w:lang w:val="es-ES_tradnl"/>
              </w:rPr>
              <w:t>169</w:t>
            </w:r>
          </w:p>
        </w:tc>
      </w:tr>
    </w:tbl>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3C7879" w:rsidRDefault="00461457"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4480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B56" w:rsidRDefault="000C4819" w:rsidP="003C7879">
      <w:pPr>
        <w:spacing w:after="0" w:line="240" w:lineRule="auto"/>
        <w:jc w:val="center"/>
        <w:rPr>
          <w:rFonts w:ascii="Arial" w:hAnsi="Arial" w:cs="Arial"/>
          <w:sz w:val="24"/>
          <w:szCs w:val="24"/>
          <w:lang w:val="es-ES_tradnl"/>
        </w:rPr>
      </w:pPr>
      <w:r w:rsidRPr="000C4819">
        <w:rPr>
          <w:rFonts w:ascii="Arial" w:hAnsi="Arial" w:cs="Arial"/>
          <w:noProof/>
          <w:sz w:val="24"/>
          <w:szCs w:val="24"/>
        </w:rPr>
        <w:pict>
          <v:shape id="_x0000_s1027" type="#_x0000_t32" style="position:absolute;left:0;text-align:left;margin-left:17.25pt;margin-top:-.1pt;width:432.75pt;height:0;z-index:251659264" o:connectortype="straight"/>
        </w:pict>
      </w: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1B5710" w:rsidRDefault="001B5710" w:rsidP="003C7879">
      <w:pPr>
        <w:spacing w:after="0" w:line="240" w:lineRule="auto"/>
        <w:jc w:val="center"/>
        <w:rPr>
          <w:rFonts w:ascii="Arial" w:hAnsi="Arial" w:cs="Arial"/>
          <w:sz w:val="24"/>
          <w:szCs w:val="24"/>
          <w:lang w:val="es-ES_tradnl"/>
        </w:rPr>
      </w:pPr>
    </w:p>
    <w:p w:rsidR="00DA57D4" w:rsidRDefault="00DA57D4" w:rsidP="003C7879">
      <w:pPr>
        <w:spacing w:after="0" w:line="240" w:lineRule="auto"/>
        <w:jc w:val="center"/>
        <w:rPr>
          <w:rFonts w:ascii="Arial" w:hAnsi="Arial" w:cs="Arial"/>
          <w:sz w:val="24"/>
          <w:szCs w:val="24"/>
          <w:lang w:val="es-ES_tradnl"/>
        </w:rPr>
      </w:pPr>
    </w:p>
    <w:p w:rsidR="009F1E7A" w:rsidRDefault="009F1E7A" w:rsidP="003C7879">
      <w:pPr>
        <w:spacing w:after="0" w:line="240" w:lineRule="auto"/>
        <w:jc w:val="center"/>
        <w:rPr>
          <w:rFonts w:ascii="Arial" w:hAnsi="Arial" w:cs="Arial"/>
          <w:sz w:val="24"/>
          <w:szCs w:val="24"/>
          <w:lang w:val="es-ES_tradnl"/>
        </w:rPr>
      </w:pPr>
    </w:p>
    <w:p w:rsidR="000B57E5" w:rsidRDefault="000B57E5" w:rsidP="007F204D">
      <w:pPr>
        <w:spacing w:after="0" w:line="240" w:lineRule="auto"/>
        <w:rPr>
          <w:rFonts w:ascii="Arial" w:hAnsi="Arial" w:cs="Arial"/>
          <w:sz w:val="24"/>
          <w:szCs w:val="24"/>
          <w:lang w:val="es-ES_tradnl"/>
        </w:rPr>
      </w:pPr>
    </w:p>
    <w:p w:rsidR="007F204D" w:rsidRDefault="007F204D" w:rsidP="007F204D">
      <w:pPr>
        <w:spacing w:after="0" w:line="240" w:lineRule="auto"/>
        <w:rPr>
          <w:rFonts w:ascii="Arial" w:hAnsi="Arial" w:cs="Arial"/>
          <w:sz w:val="24"/>
          <w:szCs w:val="24"/>
          <w:lang w:val="es-ES_tradnl"/>
        </w:rPr>
      </w:pPr>
    </w:p>
    <w:p w:rsidR="003C7879" w:rsidRDefault="00A76B56" w:rsidP="00BD2D94">
      <w:pPr>
        <w:spacing w:after="0" w:line="240" w:lineRule="auto"/>
        <w:jc w:val="center"/>
        <w:rPr>
          <w:rFonts w:ascii="Arial" w:hAnsi="Arial" w:cs="Arial"/>
          <w:sz w:val="24"/>
          <w:szCs w:val="24"/>
          <w:lang w:val="es-ES_tradnl"/>
        </w:rPr>
      </w:pPr>
      <w:r>
        <w:rPr>
          <w:rFonts w:ascii="Arial" w:hAnsi="Arial" w:cs="Arial"/>
          <w:sz w:val="24"/>
          <w:szCs w:val="24"/>
          <w:lang w:val="es-ES_tradnl"/>
        </w:rPr>
        <w:lastRenderedPageBreak/>
        <w:t xml:space="preserve">MATERIA </w:t>
      </w:r>
      <w:r w:rsidR="00867AC4">
        <w:rPr>
          <w:rFonts w:ascii="Arial" w:hAnsi="Arial" w:cs="Arial"/>
          <w:sz w:val="24"/>
          <w:szCs w:val="24"/>
          <w:lang w:val="es-ES_tradnl"/>
        </w:rPr>
        <w:t>CIVIL</w:t>
      </w:r>
    </w:p>
    <w:p w:rsidR="00075CEC" w:rsidRDefault="00075CEC" w:rsidP="003C7879">
      <w:pPr>
        <w:spacing w:after="0" w:line="240" w:lineRule="auto"/>
        <w:jc w:val="center"/>
        <w:rPr>
          <w:rFonts w:ascii="Arial" w:hAnsi="Arial" w:cs="Arial"/>
          <w:sz w:val="24"/>
          <w:szCs w:val="24"/>
          <w:lang w:val="es-ES_tradnl"/>
        </w:rPr>
      </w:pPr>
    </w:p>
    <w:p w:rsidR="00075CEC" w:rsidRDefault="00075CEC" w:rsidP="00075CEC">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Del total de asuntos competencia del Centro, </w:t>
      </w:r>
      <w:r w:rsidR="00DA57D4">
        <w:rPr>
          <w:rFonts w:ascii="Arial" w:hAnsi="Arial" w:cs="Arial"/>
          <w:b/>
          <w:sz w:val="24"/>
          <w:szCs w:val="24"/>
          <w:lang w:val="es-ES_tradnl"/>
        </w:rPr>
        <w:t>293</w:t>
      </w:r>
      <w:r w:rsidR="00B72C0D">
        <w:rPr>
          <w:rFonts w:ascii="Arial" w:hAnsi="Arial" w:cs="Arial"/>
          <w:b/>
          <w:sz w:val="24"/>
          <w:szCs w:val="24"/>
          <w:lang w:val="es-ES_tradnl"/>
        </w:rPr>
        <w:t xml:space="preserve"> </w:t>
      </w:r>
      <w:r>
        <w:rPr>
          <w:rFonts w:ascii="Arial" w:hAnsi="Arial" w:cs="Arial"/>
          <w:sz w:val="24"/>
          <w:szCs w:val="24"/>
          <w:lang w:val="es-ES_tradnl"/>
        </w:rPr>
        <w:t>corresponde</w:t>
      </w:r>
      <w:r w:rsidR="00867AC4">
        <w:rPr>
          <w:rFonts w:ascii="Arial" w:hAnsi="Arial" w:cs="Arial"/>
          <w:sz w:val="24"/>
          <w:szCs w:val="24"/>
          <w:lang w:val="es-ES_tradnl"/>
        </w:rPr>
        <w:t>n a la materia civil</w:t>
      </w:r>
      <w:r>
        <w:rPr>
          <w:rFonts w:ascii="Arial" w:hAnsi="Arial" w:cs="Arial"/>
          <w:sz w:val="24"/>
          <w:szCs w:val="24"/>
          <w:lang w:val="es-ES_tradnl"/>
        </w:rPr>
        <w:t>, presentándose casuísticamente de la siguiente manera:</w:t>
      </w:r>
    </w:p>
    <w:p w:rsidR="00075CEC" w:rsidRPr="000633FF" w:rsidRDefault="00075CEC" w:rsidP="00075CEC">
      <w:pPr>
        <w:spacing w:after="0" w:line="240" w:lineRule="auto"/>
        <w:rPr>
          <w:rFonts w:ascii="Arial"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BD2D94" w:rsidRPr="007F204D" w:rsidTr="00201D65">
        <w:trPr>
          <w:trHeight w:val="329"/>
        </w:trPr>
        <w:tc>
          <w:tcPr>
            <w:tcW w:w="7717" w:type="dxa"/>
            <w:shd w:val="clear" w:color="auto" w:fill="FFFFFF" w:themeFill="background1"/>
            <w:hideMark/>
          </w:tcPr>
          <w:p w:rsidR="00BD2D94" w:rsidRPr="007F204D" w:rsidRDefault="00B07C1C" w:rsidP="00BD2D94">
            <w:pPr>
              <w:spacing w:after="0" w:line="240" w:lineRule="auto"/>
              <w:rPr>
                <w:rFonts w:ascii="Arial" w:hAnsi="Arial" w:cs="Arial"/>
                <w:bCs/>
                <w:lang w:val="es-ES_tradnl"/>
              </w:rPr>
            </w:pPr>
            <w:r w:rsidRPr="007F204D">
              <w:rPr>
                <w:rFonts w:ascii="Arial" w:hAnsi="Arial" w:cs="Arial"/>
                <w:bCs/>
                <w:lang w:val="es-ES_tradnl"/>
              </w:rPr>
              <w:t>C</w:t>
            </w:r>
            <w:r w:rsidR="0019532C" w:rsidRPr="007F204D">
              <w:rPr>
                <w:rFonts w:ascii="Arial" w:hAnsi="Arial" w:cs="Arial"/>
                <w:bCs/>
                <w:lang w:val="es-ES_tradnl"/>
              </w:rPr>
              <w:t>ontrato de mutuo</w:t>
            </w:r>
          </w:p>
        </w:tc>
        <w:tc>
          <w:tcPr>
            <w:tcW w:w="1320" w:type="dxa"/>
            <w:shd w:val="clear" w:color="auto" w:fill="FFFFFF" w:themeFill="background1"/>
            <w:hideMark/>
          </w:tcPr>
          <w:p w:rsidR="00BD2D94" w:rsidRPr="007F204D" w:rsidRDefault="00DA57D4" w:rsidP="00E14CBC">
            <w:pPr>
              <w:spacing w:after="0" w:line="240" w:lineRule="auto"/>
              <w:jc w:val="center"/>
              <w:rPr>
                <w:rFonts w:ascii="Arial" w:hAnsi="Arial" w:cs="Arial"/>
                <w:lang w:val="es-ES_tradnl"/>
              </w:rPr>
            </w:pPr>
            <w:r w:rsidRPr="007F204D">
              <w:rPr>
                <w:rFonts w:ascii="Arial" w:hAnsi="Arial" w:cs="Arial"/>
                <w:lang w:val="es-ES_tradnl"/>
              </w:rPr>
              <w:t>21</w:t>
            </w:r>
          </w:p>
        </w:tc>
      </w:tr>
      <w:tr w:rsidR="00BD2D94" w:rsidRPr="007F204D" w:rsidTr="00201D65">
        <w:trPr>
          <w:trHeight w:val="329"/>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I</w:t>
            </w:r>
            <w:r w:rsidR="0019532C" w:rsidRPr="007F204D">
              <w:rPr>
                <w:rFonts w:ascii="Arial" w:hAnsi="Arial" w:cs="Arial"/>
                <w:bCs/>
                <w:lang w:val="es-ES_tradnl"/>
              </w:rPr>
              <w:t>ncumplimiento de un contrato</w:t>
            </w:r>
          </w:p>
        </w:tc>
        <w:tc>
          <w:tcPr>
            <w:tcW w:w="1320" w:type="dxa"/>
            <w:shd w:val="clear" w:color="auto" w:fill="FFFFFF" w:themeFill="background1"/>
            <w:hideMark/>
          </w:tcPr>
          <w:p w:rsidR="00BD2D94" w:rsidRPr="007F204D" w:rsidRDefault="00DA57D4" w:rsidP="00867AC4">
            <w:pPr>
              <w:spacing w:after="0" w:line="240" w:lineRule="auto"/>
              <w:jc w:val="center"/>
              <w:rPr>
                <w:rFonts w:ascii="Arial" w:hAnsi="Arial" w:cs="Arial"/>
                <w:lang w:val="es-ES_tradnl"/>
              </w:rPr>
            </w:pPr>
            <w:r w:rsidRPr="007F204D">
              <w:rPr>
                <w:rFonts w:ascii="Arial" w:hAnsi="Arial" w:cs="Arial"/>
                <w:lang w:val="es-ES_tradnl"/>
              </w:rPr>
              <w:t>93</w:t>
            </w:r>
          </w:p>
        </w:tc>
      </w:tr>
      <w:tr w:rsidR="00BD2D94" w:rsidRPr="007F204D" w:rsidTr="00201D65">
        <w:trPr>
          <w:trHeight w:val="365"/>
        </w:trPr>
        <w:tc>
          <w:tcPr>
            <w:tcW w:w="7717" w:type="dxa"/>
            <w:shd w:val="clear" w:color="auto" w:fill="FFFFFF" w:themeFill="background1"/>
            <w:hideMark/>
          </w:tcPr>
          <w:p w:rsidR="00BD2D94" w:rsidRPr="007F204D" w:rsidRDefault="00B07C1C" w:rsidP="00BD2D94">
            <w:pPr>
              <w:spacing w:after="0" w:line="240" w:lineRule="auto"/>
              <w:rPr>
                <w:rFonts w:ascii="Arial" w:hAnsi="Arial" w:cs="Arial"/>
                <w:bCs/>
                <w:lang w:val="es-ES_tradnl"/>
              </w:rPr>
            </w:pPr>
            <w:r w:rsidRPr="007F204D">
              <w:rPr>
                <w:rFonts w:ascii="Arial" w:hAnsi="Arial" w:cs="Arial"/>
                <w:bCs/>
                <w:lang w:val="es-ES_tradnl"/>
              </w:rPr>
              <w:t>A</w:t>
            </w:r>
            <w:r w:rsidR="0019532C" w:rsidRPr="007F204D">
              <w:rPr>
                <w:rFonts w:ascii="Arial" w:hAnsi="Arial" w:cs="Arial"/>
                <w:bCs/>
                <w:lang w:val="es-ES_tradnl"/>
              </w:rPr>
              <w:t>rrendamiento</w:t>
            </w:r>
          </w:p>
        </w:tc>
        <w:tc>
          <w:tcPr>
            <w:tcW w:w="1320" w:type="dxa"/>
            <w:shd w:val="clear" w:color="auto" w:fill="FFFFFF" w:themeFill="background1"/>
            <w:hideMark/>
          </w:tcPr>
          <w:p w:rsidR="00BD2D94" w:rsidRPr="007F204D" w:rsidRDefault="00DA57D4" w:rsidP="00E14CBC">
            <w:pPr>
              <w:spacing w:after="0" w:line="240" w:lineRule="auto"/>
              <w:jc w:val="center"/>
              <w:rPr>
                <w:rFonts w:ascii="Arial" w:hAnsi="Arial" w:cs="Arial"/>
                <w:lang w:val="es-ES_tradnl"/>
              </w:rPr>
            </w:pPr>
            <w:r w:rsidRPr="007F204D">
              <w:rPr>
                <w:rFonts w:ascii="Arial" w:hAnsi="Arial" w:cs="Arial"/>
                <w:lang w:val="es-ES_tradnl"/>
              </w:rPr>
              <w:t>68</w:t>
            </w:r>
          </w:p>
        </w:tc>
      </w:tr>
      <w:tr w:rsidR="00BD2D94" w:rsidRPr="007F204D" w:rsidTr="00201D65">
        <w:trPr>
          <w:trHeight w:val="256"/>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P</w:t>
            </w:r>
            <w:r w:rsidR="0019532C" w:rsidRPr="007F204D">
              <w:rPr>
                <w:rFonts w:ascii="Arial" w:hAnsi="Arial" w:cs="Arial"/>
                <w:bCs/>
                <w:lang w:val="es-ES_tradnl"/>
              </w:rPr>
              <w:t>ropiedad</w:t>
            </w:r>
          </w:p>
        </w:tc>
        <w:tc>
          <w:tcPr>
            <w:tcW w:w="1320" w:type="dxa"/>
            <w:shd w:val="clear" w:color="auto" w:fill="FFFFFF" w:themeFill="background1"/>
            <w:hideMark/>
          </w:tcPr>
          <w:p w:rsidR="00BD2D94" w:rsidRPr="007F204D" w:rsidRDefault="00DA57D4" w:rsidP="00E14CBC">
            <w:pPr>
              <w:spacing w:after="0" w:line="240" w:lineRule="auto"/>
              <w:jc w:val="center"/>
              <w:rPr>
                <w:rFonts w:ascii="Arial" w:hAnsi="Arial" w:cs="Arial"/>
                <w:lang w:val="es-ES_tradnl"/>
              </w:rPr>
            </w:pPr>
            <w:r w:rsidRPr="007F204D">
              <w:rPr>
                <w:rFonts w:ascii="Arial" w:hAnsi="Arial" w:cs="Arial"/>
                <w:lang w:val="es-ES_tradnl"/>
              </w:rPr>
              <w:t>14</w:t>
            </w:r>
          </w:p>
        </w:tc>
      </w:tr>
      <w:tr w:rsidR="00BD2D94" w:rsidRPr="007F204D" w:rsidTr="00201D65">
        <w:trPr>
          <w:trHeight w:val="273"/>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C</w:t>
            </w:r>
            <w:r w:rsidR="0019532C" w:rsidRPr="007F204D">
              <w:rPr>
                <w:rFonts w:ascii="Arial" w:hAnsi="Arial" w:cs="Arial"/>
                <w:bCs/>
                <w:lang w:val="es-ES_tradnl"/>
              </w:rPr>
              <w:t>opropiedad</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1</w:t>
            </w:r>
          </w:p>
        </w:tc>
      </w:tr>
      <w:tr w:rsidR="00BD2D94" w:rsidRPr="007F204D" w:rsidTr="00201D65">
        <w:trPr>
          <w:trHeight w:val="273"/>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C</w:t>
            </w:r>
            <w:r w:rsidR="0019532C" w:rsidRPr="007F204D">
              <w:rPr>
                <w:rFonts w:ascii="Arial" w:hAnsi="Arial" w:cs="Arial"/>
                <w:bCs/>
                <w:lang w:val="es-ES_tradnl"/>
              </w:rPr>
              <w:t>omodato</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11</w:t>
            </w:r>
          </w:p>
        </w:tc>
      </w:tr>
      <w:tr w:rsidR="00BD2D94" w:rsidRPr="007F204D" w:rsidTr="00201D65">
        <w:trPr>
          <w:trHeight w:val="264"/>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C</w:t>
            </w:r>
            <w:r w:rsidR="0019532C" w:rsidRPr="007F204D">
              <w:rPr>
                <w:rFonts w:ascii="Arial" w:hAnsi="Arial" w:cs="Arial"/>
                <w:bCs/>
                <w:lang w:val="es-ES_tradnl"/>
              </w:rPr>
              <w:t>ompra venta</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36</w:t>
            </w:r>
          </w:p>
        </w:tc>
      </w:tr>
      <w:tr w:rsidR="00BD2D94" w:rsidRPr="007F204D" w:rsidTr="00201D65">
        <w:trPr>
          <w:trHeight w:val="264"/>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G</w:t>
            </w:r>
            <w:r w:rsidR="0019532C" w:rsidRPr="007F204D">
              <w:rPr>
                <w:rFonts w:ascii="Arial" w:hAnsi="Arial" w:cs="Arial"/>
                <w:bCs/>
                <w:lang w:val="es-ES_tradnl"/>
              </w:rPr>
              <w:t>arantía hipotecaria</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1</w:t>
            </w:r>
          </w:p>
        </w:tc>
      </w:tr>
      <w:tr w:rsidR="00BD2D94" w:rsidRPr="007F204D" w:rsidTr="00201D65">
        <w:trPr>
          <w:trHeight w:val="264"/>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G</w:t>
            </w:r>
            <w:r w:rsidR="0019532C" w:rsidRPr="007F204D">
              <w:rPr>
                <w:rFonts w:ascii="Arial" w:hAnsi="Arial" w:cs="Arial"/>
                <w:bCs/>
                <w:lang w:val="es-ES_tradnl"/>
              </w:rPr>
              <w:t>arantías de servicio</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5</w:t>
            </w:r>
          </w:p>
        </w:tc>
      </w:tr>
      <w:tr w:rsidR="00BD2D94" w:rsidRPr="007F204D" w:rsidTr="00201D65">
        <w:trPr>
          <w:trHeight w:val="264"/>
        </w:trPr>
        <w:tc>
          <w:tcPr>
            <w:tcW w:w="7717" w:type="dxa"/>
            <w:shd w:val="clear" w:color="auto" w:fill="FFFFFF" w:themeFill="background1"/>
            <w:hideMark/>
          </w:tcPr>
          <w:p w:rsidR="00BD2D94" w:rsidRPr="007F204D" w:rsidRDefault="0019532C" w:rsidP="00867AC4">
            <w:pPr>
              <w:spacing w:after="0" w:line="240" w:lineRule="auto"/>
              <w:rPr>
                <w:rFonts w:ascii="Arial" w:hAnsi="Arial" w:cs="Arial"/>
                <w:bCs/>
                <w:lang w:val="es-ES_tradnl"/>
              </w:rPr>
            </w:pPr>
            <w:r w:rsidRPr="007F204D">
              <w:rPr>
                <w:rFonts w:ascii="Arial" w:hAnsi="Arial" w:cs="Arial"/>
                <w:bCs/>
                <w:lang w:val="es-ES_tradnl"/>
              </w:rPr>
              <w:t>Reparación de daños</w:t>
            </w:r>
          </w:p>
        </w:tc>
        <w:tc>
          <w:tcPr>
            <w:tcW w:w="1320" w:type="dxa"/>
            <w:shd w:val="clear" w:color="auto" w:fill="FFFFFF" w:themeFill="background1"/>
            <w:hideMark/>
          </w:tcPr>
          <w:p w:rsidR="00BD2D94" w:rsidRPr="007F204D" w:rsidRDefault="007F204D" w:rsidP="00867AC4">
            <w:pPr>
              <w:spacing w:after="0" w:line="240" w:lineRule="auto"/>
              <w:jc w:val="center"/>
              <w:rPr>
                <w:rFonts w:ascii="Arial" w:hAnsi="Arial" w:cs="Arial"/>
                <w:lang w:val="es-ES_tradnl"/>
              </w:rPr>
            </w:pPr>
            <w:r w:rsidRPr="007F204D">
              <w:rPr>
                <w:rFonts w:ascii="Arial" w:hAnsi="Arial" w:cs="Arial"/>
                <w:lang w:val="es-ES_tradnl"/>
              </w:rPr>
              <w:t>15</w:t>
            </w:r>
          </w:p>
        </w:tc>
      </w:tr>
      <w:tr w:rsidR="00BD2D94" w:rsidRPr="007F204D" w:rsidTr="00201D65">
        <w:trPr>
          <w:trHeight w:val="264"/>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P</w:t>
            </w:r>
            <w:r w:rsidR="0019532C" w:rsidRPr="007F204D">
              <w:rPr>
                <w:rFonts w:ascii="Arial" w:hAnsi="Arial" w:cs="Arial"/>
                <w:bCs/>
                <w:lang w:val="es-ES_tradnl"/>
              </w:rPr>
              <w:t>ago de pesos</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5</w:t>
            </w:r>
          </w:p>
        </w:tc>
      </w:tr>
      <w:tr w:rsidR="00BD2D94" w:rsidRPr="007F204D" w:rsidTr="00201D65">
        <w:trPr>
          <w:trHeight w:val="264"/>
        </w:trPr>
        <w:tc>
          <w:tcPr>
            <w:tcW w:w="7717" w:type="dxa"/>
            <w:shd w:val="clear" w:color="auto" w:fill="FFFFFF" w:themeFill="background1"/>
            <w:hideMark/>
          </w:tcPr>
          <w:p w:rsidR="00BD2D94" w:rsidRPr="007F204D" w:rsidRDefault="00B07C1C" w:rsidP="00867AC4">
            <w:pPr>
              <w:spacing w:after="0" w:line="240" w:lineRule="auto"/>
              <w:rPr>
                <w:rFonts w:ascii="Arial" w:hAnsi="Arial" w:cs="Arial"/>
                <w:bCs/>
                <w:lang w:val="es-ES_tradnl"/>
              </w:rPr>
            </w:pPr>
            <w:r w:rsidRPr="007F204D">
              <w:rPr>
                <w:rFonts w:ascii="Arial" w:hAnsi="Arial" w:cs="Arial"/>
                <w:bCs/>
                <w:lang w:val="es-ES_tradnl"/>
              </w:rPr>
              <w:t>C</w:t>
            </w:r>
            <w:r w:rsidR="0019532C" w:rsidRPr="007F204D">
              <w:rPr>
                <w:rFonts w:ascii="Arial" w:hAnsi="Arial" w:cs="Arial"/>
                <w:bCs/>
                <w:lang w:val="es-ES_tradnl"/>
              </w:rPr>
              <w:t>onflictos vecinales</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5</w:t>
            </w:r>
          </w:p>
        </w:tc>
      </w:tr>
      <w:tr w:rsidR="00BD2D94" w:rsidRPr="007F204D" w:rsidTr="00201D65">
        <w:trPr>
          <w:trHeight w:val="264"/>
        </w:trPr>
        <w:tc>
          <w:tcPr>
            <w:tcW w:w="7717" w:type="dxa"/>
            <w:shd w:val="clear" w:color="auto" w:fill="FFFFFF" w:themeFill="background1"/>
            <w:hideMark/>
          </w:tcPr>
          <w:p w:rsidR="00BD2D94" w:rsidRPr="007F204D" w:rsidRDefault="0019532C" w:rsidP="00867AC4">
            <w:pPr>
              <w:spacing w:after="0" w:line="240" w:lineRule="auto"/>
              <w:rPr>
                <w:rFonts w:ascii="Arial" w:hAnsi="Arial" w:cs="Arial"/>
                <w:bCs/>
                <w:lang w:val="es-ES_tradnl"/>
              </w:rPr>
            </w:pPr>
            <w:r w:rsidRPr="007F204D">
              <w:rPr>
                <w:rFonts w:ascii="Arial" w:hAnsi="Arial" w:cs="Arial"/>
                <w:bCs/>
                <w:lang w:val="es-ES_tradnl"/>
              </w:rPr>
              <w:t>Posesión</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3</w:t>
            </w:r>
          </w:p>
        </w:tc>
      </w:tr>
      <w:tr w:rsidR="00BD2D94" w:rsidRPr="007F204D" w:rsidTr="00201D65">
        <w:trPr>
          <w:trHeight w:val="264"/>
        </w:trPr>
        <w:tc>
          <w:tcPr>
            <w:tcW w:w="7717" w:type="dxa"/>
            <w:shd w:val="clear" w:color="auto" w:fill="FFFFFF" w:themeFill="background1"/>
            <w:hideMark/>
          </w:tcPr>
          <w:p w:rsidR="00BD2D94" w:rsidRPr="007F204D" w:rsidRDefault="0019532C" w:rsidP="007F204D">
            <w:pPr>
              <w:spacing w:after="0" w:line="160" w:lineRule="exact"/>
              <w:jc w:val="both"/>
              <w:rPr>
                <w:rFonts w:ascii="Arial" w:hAnsi="Arial" w:cs="Arial"/>
                <w:bCs/>
                <w:lang w:val="es-ES_tradnl"/>
              </w:rPr>
            </w:pPr>
            <w:r w:rsidRPr="007F204D">
              <w:rPr>
                <w:rFonts w:ascii="Arial" w:hAnsi="Arial" w:cs="Arial"/>
                <w:bCs/>
                <w:lang w:val="es-ES_tradnl"/>
              </w:rPr>
              <w:t>Otros asuntos (</w:t>
            </w:r>
            <w:r w:rsidR="007F204D" w:rsidRPr="007F204D">
              <w:rPr>
                <w:lang w:val="es-ES_tradnl"/>
              </w:rPr>
              <w:t xml:space="preserve">solicita se le cite a su </w:t>
            </w:r>
            <w:r w:rsidR="007F14FB" w:rsidRPr="007F204D">
              <w:rPr>
                <w:lang w:val="es-ES_tradnl"/>
              </w:rPr>
              <w:t>ex pareja</w:t>
            </w:r>
            <w:r w:rsidR="007F204D" w:rsidRPr="007F204D">
              <w:rPr>
                <w:lang w:val="es-ES_tradnl"/>
              </w:rPr>
              <w:t xml:space="preserve"> para dividir deudas adquiridas en común, solicita el pago de gastos médicos por accidente ocasionado, solicita se ponga al corriente de pagos de traspaso de vivienda, solicita la entrega de sus herramientas de trabajo y pago de trabajo de albañilería, solicita pago de reparación de daños por accidente en tienda, solicita pago de comisión por venta de inmueble, solicita entrega de su vehículo reparado a mecánico, solicita cumplimiento de permuta de bienes, solicita pago de responsabilidad civil por robo de vehículo en estacionamiento de hotel, derechos sucesorios, solicita a negociación actualice sus datos telefónicos de internet ya que por error utilizan su número telefónico, desea tener platica conciliatoria con laboratorio farmacéutico en el que trabajaba para la devolución de vehículo utilitario, desea rescindir contrato de arrendamiento de placas de taxi, compró un vehículo y su prometida no se lo quiere devolver, solicita la devolución de una cantidad de dinero que pagó para responder por una obligación de otra persona)</w:t>
            </w:r>
          </w:p>
        </w:tc>
        <w:tc>
          <w:tcPr>
            <w:tcW w:w="1320" w:type="dxa"/>
            <w:shd w:val="clear" w:color="auto" w:fill="FFFFFF" w:themeFill="background1"/>
            <w:hideMark/>
          </w:tcPr>
          <w:p w:rsidR="00BD2D94" w:rsidRPr="007F204D" w:rsidRDefault="007F204D" w:rsidP="00E14CBC">
            <w:pPr>
              <w:spacing w:after="0" w:line="240" w:lineRule="auto"/>
              <w:jc w:val="center"/>
              <w:rPr>
                <w:rFonts w:ascii="Arial" w:hAnsi="Arial" w:cs="Arial"/>
                <w:lang w:val="es-ES_tradnl"/>
              </w:rPr>
            </w:pPr>
            <w:r w:rsidRPr="007F204D">
              <w:rPr>
                <w:rFonts w:ascii="Arial" w:hAnsi="Arial" w:cs="Arial"/>
                <w:lang w:val="es-ES_tradnl"/>
              </w:rPr>
              <w:t>15</w:t>
            </w:r>
          </w:p>
        </w:tc>
      </w:tr>
      <w:tr w:rsidR="00BD2D94" w:rsidRPr="00201D65" w:rsidTr="00201D65">
        <w:trPr>
          <w:trHeight w:val="264"/>
        </w:trPr>
        <w:tc>
          <w:tcPr>
            <w:tcW w:w="7717" w:type="dxa"/>
            <w:shd w:val="clear" w:color="auto" w:fill="FFFFFF" w:themeFill="background1"/>
            <w:hideMark/>
          </w:tcPr>
          <w:p w:rsidR="00BD2D94" w:rsidRPr="00201D65" w:rsidRDefault="0019532C" w:rsidP="00867AC4">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BD2D94" w:rsidRPr="00201D65" w:rsidRDefault="007F204D" w:rsidP="00B115BA">
            <w:pPr>
              <w:spacing w:after="0" w:line="240" w:lineRule="auto"/>
              <w:jc w:val="center"/>
              <w:rPr>
                <w:rFonts w:ascii="Arial" w:hAnsi="Arial" w:cs="Arial"/>
                <w:b/>
                <w:sz w:val="24"/>
                <w:szCs w:val="24"/>
                <w:lang w:val="es-ES_tradnl"/>
              </w:rPr>
            </w:pPr>
            <w:r>
              <w:rPr>
                <w:rFonts w:ascii="Arial" w:hAnsi="Arial" w:cs="Arial"/>
                <w:b/>
                <w:sz w:val="24"/>
                <w:szCs w:val="24"/>
                <w:lang w:val="es-ES_tradnl"/>
              </w:rPr>
              <w:t>293</w:t>
            </w:r>
          </w:p>
        </w:tc>
      </w:tr>
    </w:tbl>
    <w:p w:rsidR="003C7879" w:rsidRDefault="00F605CC" w:rsidP="0066443F">
      <w:pPr>
        <w:tabs>
          <w:tab w:val="left" w:pos="4820"/>
        </w:tabs>
        <w:jc w:val="center"/>
        <w:rPr>
          <w:rFonts w:ascii="Arial" w:hAnsi="Arial" w:cs="Arial"/>
          <w:sz w:val="24"/>
          <w:szCs w:val="24"/>
          <w:lang w:val="es-ES_tradnl"/>
        </w:rPr>
      </w:pPr>
      <w:r>
        <w:rPr>
          <w:noProof/>
          <w:sz w:val="24"/>
          <w:szCs w:val="24"/>
          <w:lang w:val="es-MX" w:eastAsia="es-MX"/>
        </w:rPr>
        <w:drawing>
          <wp:inline distT="0" distB="0" distL="0" distR="0">
            <wp:extent cx="6484882" cy="2861534"/>
            <wp:effectExtent l="19050" t="0" r="11168"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848" w:rsidRDefault="003C7879" w:rsidP="00325D26">
      <w:pPr>
        <w:jc w:val="center"/>
        <w:rPr>
          <w:rFonts w:ascii="Arial" w:hAnsi="Arial" w:cs="Arial"/>
          <w:sz w:val="24"/>
          <w:szCs w:val="24"/>
          <w:lang w:val="es-ES_tradnl"/>
        </w:rPr>
      </w:pPr>
      <w:r>
        <w:rPr>
          <w:rFonts w:ascii="Arial" w:hAnsi="Arial" w:cs="Arial"/>
          <w:sz w:val="24"/>
          <w:szCs w:val="24"/>
          <w:lang w:val="es-ES_tradnl"/>
        </w:rPr>
        <w:lastRenderedPageBreak/>
        <w:t xml:space="preserve">                 </w:t>
      </w:r>
      <w:r w:rsidR="00325D26">
        <w:rPr>
          <w:rFonts w:ascii="Arial" w:hAnsi="Arial" w:cs="Arial"/>
          <w:sz w:val="24"/>
          <w:szCs w:val="24"/>
          <w:lang w:val="es-ES_tradnl"/>
        </w:rPr>
        <w:tab/>
      </w:r>
      <w:r>
        <w:rPr>
          <w:rFonts w:ascii="Arial" w:hAnsi="Arial" w:cs="Arial"/>
          <w:sz w:val="24"/>
          <w:szCs w:val="24"/>
          <w:lang w:val="es-ES_tradnl"/>
        </w:rPr>
        <w:t xml:space="preserve">          </w:t>
      </w:r>
    </w:p>
    <w:p w:rsidR="0024358C" w:rsidRDefault="007F43D5" w:rsidP="003C7879">
      <w:pPr>
        <w:jc w:val="center"/>
        <w:rPr>
          <w:rFonts w:ascii="Arial" w:hAnsi="Arial" w:cs="Arial"/>
          <w:sz w:val="24"/>
          <w:szCs w:val="24"/>
          <w:lang w:val="es-ES_tradnl"/>
        </w:rPr>
      </w:pPr>
      <w:r>
        <w:rPr>
          <w:rFonts w:ascii="Arial" w:hAnsi="Arial" w:cs="Arial"/>
          <w:sz w:val="24"/>
          <w:szCs w:val="24"/>
          <w:lang w:val="es-ES_tradnl"/>
        </w:rPr>
        <w:t>ETAPA EN LA QUE SE ENCUENTRAN:</w:t>
      </w:r>
    </w:p>
    <w:p w:rsidR="007F43D5" w:rsidRDefault="00F605CC" w:rsidP="007F43D5">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325D26">
        <w:rPr>
          <w:rFonts w:ascii="Arial" w:hAnsi="Arial" w:cs="Arial"/>
          <w:b/>
          <w:sz w:val="24"/>
          <w:szCs w:val="24"/>
          <w:lang w:val="es-ES_tradnl"/>
        </w:rPr>
        <w:t>293</w:t>
      </w:r>
      <w:r w:rsidR="004B2419">
        <w:rPr>
          <w:rFonts w:ascii="Arial" w:hAnsi="Arial" w:cs="Arial"/>
          <w:b/>
          <w:sz w:val="24"/>
          <w:szCs w:val="24"/>
          <w:lang w:val="es-ES_tradnl"/>
        </w:rPr>
        <w:t xml:space="preserve"> </w:t>
      </w:r>
      <w:r w:rsidR="00B72C0D">
        <w:rPr>
          <w:rFonts w:ascii="Arial" w:hAnsi="Arial" w:cs="Arial"/>
          <w:b/>
          <w:sz w:val="24"/>
          <w:szCs w:val="24"/>
          <w:lang w:val="es-ES_tradnl"/>
        </w:rPr>
        <w:t xml:space="preserve"> </w:t>
      </w:r>
      <w:r w:rsidR="00075CEC">
        <w:rPr>
          <w:rFonts w:ascii="Arial" w:hAnsi="Arial" w:cs="Arial"/>
          <w:sz w:val="24"/>
          <w:szCs w:val="24"/>
          <w:lang w:val="es-ES_tradnl"/>
        </w:rPr>
        <w:t>invitaciones relativa</w:t>
      </w:r>
      <w:r w:rsidR="001B5710">
        <w:rPr>
          <w:rFonts w:ascii="Arial" w:hAnsi="Arial" w:cs="Arial"/>
          <w:sz w:val="24"/>
          <w:szCs w:val="24"/>
          <w:lang w:val="es-ES_tradnl"/>
        </w:rPr>
        <w:t>s a la materia civil</w:t>
      </w:r>
      <w:r w:rsidR="00075CEC">
        <w:rPr>
          <w:rFonts w:ascii="Arial" w:hAnsi="Arial" w:cs="Arial"/>
          <w:sz w:val="24"/>
          <w:szCs w:val="24"/>
          <w:lang w:val="es-ES_tradnl"/>
        </w:rPr>
        <w:t>, de las cuales, fueron aceptadas por la contraparte para iniciación de procedimiento,</w:t>
      </w:r>
      <w:r w:rsidR="00035F11">
        <w:rPr>
          <w:rFonts w:ascii="Arial" w:hAnsi="Arial" w:cs="Arial"/>
          <w:b/>
          <w:sz w:val="24"/>
          <w:szCs w:val="24"/>
          <w:lang w:val="es-ES_tradnl"/>
        </w:rPr>
        <w:t xml:space="preserve"> </w:t>
      </w:r>
      <w:r w:rsidR="00325D26">
        <w:rPr>
          <w:rFonts w:ascii="Arial" w:hAnsi="Arial" w:cs="Arial"/>
          <w:b/>
          <w:sz w:val="24"/>
          <w:szCs w:val="24"/>
          <w:lang w:val="es-ES_tradnl"/>
        </w:rPr>
        <w:t>280</w:t>
      </w:r>
      <w:r w:rsidR="004B2419">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201D65">
        <w:rPr>
          <w:rFonts w:ascii="Arial" w:hAnsi="Arial" w:cs="Arial"/>
          <w:b/>
          <w:sz w:val="24"/>
          <w:szCs w:val="24"/>
          <w:lang w:val="es-ES_tradnl"/>
        </w:rPr>
        <w:t>(</w:t>
      </w:r>
      <w:r w:rsidR="00325D26">
        <w:rPr>
          <w:rFonts w:ascii="Arial" w:hAnsi="Arial" w:cs="Arial"/>
          <w:b/>
          <w:sz w:val="24"/>
          <w:szCs w:val="24"/>
          <w:lang w:val="es-ES_tradnl"/>
        </w:rPr>
        <w:t>13</w:t>
      </w:r>
      <w:r w:rsidR="007F43D5" w:rsidRPr="00201D65">
        <w:rPr>
          <w:rFonts w:ascii="Arial" w:hAnsi="Arial" w:cs="Arial"/>
          <w:b/>
          <w:sz w:val="24"/>
          <w:szCs w:val="24"/>
          <w:lang w:val="es-ES_tradnl"/>
        </w:rPr>
        <w:t>),</w:t>
      </w:r>
      <w:r w:rsidR="007F43D5">
        <w:rPr>
          <w:rFonts w:ascii="Arial" w:hAnsi="Arial" w:cs="Arial"/>
          <w:sz w:val="24"/>
          <w:szCs w:val="24"/>
          <w:lang w:val="es-ES_tradnl"/>
        </w:rPr>
        <w:t xml:space="preserve"> fueron no aceptadas.</w:t>
      </w:r>
    </w:p>
    <w:p w:rsidR="0024358C" w:rsidRDefault="0024358C"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24358C"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Fueron aceptadas para m</w:t>
            </w:r>
            <w:r w:rsidR="00461457">
              <w:rPr>
                <w:rFonts w:ascii="Arial" w:hAnsi="Arial" w:cs="Arial"/>
                <w:sz w:val="24"/>
                <w:szCs w:val="24"/>
                <w:lang w:val="es-ES_tradnl"/>
              </w:rPr>
              <w:t>ediación o conciliación</w:t>
            </w:r>
          </w:p>
        </w:tc>
        <w:tc>
          <w:tcPr>
            <w:tcW w:w="1274" w:type="dxa"/>
            <w:vAlign w:val="bottom"/>
          </w:tcPr>
          <w:p w:rsidR="0024358C" w:rsidRPr="00965BB8" w:rsidRDefault="00325D26"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280</w:t>
            </w:r>
          </w:p>
        </w:tc>
      </w:tr>
      <w:tr w:rsidR="0024358C"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N</w:t>
            </w:r>
            <w:r w:rsidR="00461457">
              <w:rPr>
                <w:rFonts w:ascii="Arial" w:hAnsi="Arial" w:cs="Arial"/>
                <w:sz w:val="24"/>
                <w:szCs w:val="24"/>
                <w:lang w:val="es-ES_tradnl"/>
              </w:rPr>
              <w:t>o aceptadas</w:t>
            </w:r>
          </w:p>
        </w:tc>
        <w:tc>
          <w:tcPr>
            <w:tcW w:w="1274" w:type="dxa"/>
            <w:vAlign w:val="bottom"/>
          </w:tcPr>
          <w:p w:rsidR="0024358C" w:rsidRPr="00965BB8" w:rsidRDefault="001C55BA"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1</w:t>
            </w:r>
            <w:r w:rsidR="00325D26">
              <w:rPr>
                <w:rFonts w:ascii="Arial" w:hAnsi="Arial" w:cs="Arial"/>
                <w:sz w:val="24"/>
                <w:szCs w:val="24"/>
                <w:lang w:val="es-ES_tradnl"/>
              </w:rPr>
              <w:t>3</w:t>
            </w:r>
          </w:p>
        </w:tc>
      </w:tr>
      <w:tr w:rsidR="0051065A" w:rsidTr="00D77576">
        <w:trPr>
          <w:jc w:val="center"/>
        </w:trPr>
        <w:tc>
          <w:tcPr>
            <w:tcW w:w="4788" w:type="dxa"/>
          </w:tcPr>
          <w:p w:rsidR="00965BB8" w:rsidRDefault="00965BB8" w:rsidP="000D303C">
            <w:pPr>
              <w:spacing w:after="0" w:line="240" w:lineRule="auto"/>
              <w:rPr>
                <w:rFonts w:ascii="Arial" w:hAnsi="Arial" w:cs="Arial"/>
                <w:b/>
                <w:sz w:val="24"/>
                <w:szCs w:val="24"/>
                <w:lang w:val="es-ES_tradnl"/>
              </w:rPr>
            </w:pPr>
          </w:p>
          <w:p w:rsidR="0051065A" w:rsidRPr="0051065A" w:rsidRDefault="00461457" w:rsidP="000D303C">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51065A" w:rsidRPr="00B96D79" w:rsidRDefault="00325D26" w:rsidP="00E14CBC">
            <w:pPr>
              <w:spacing w:after="0" w:line="240" w:lineRule="auto"/>
              <w:jc w:val="center"/>
              <w:rPr>
                <w:rFonts w:ascii="Arial" w:hAnsi="Arial" w:cs="Arial"/>
                <w:b/>
                <w:sz w:val="24"/>
                <w:szCs w:val="24"/>
                <w:lang w:val="es-ES_tradnl"/>
              </w:rPr>
            </w:pPr>
            <w:r>
              <w:rPr>
                <w:rFonts w:ascii="Arial" w:hAnsi="Arial" w:cs="Arial"/>
                <w:b/>
                <w:sz w:val="24"/>
                <w:szCs w:val="24"/>
                <w:lang w:val="es-ES_tradnl"/>
              </w:rPr>
              <w:t>293</w:t>
            </w:r>
          </w:p>
        </w:tc>
      </w:tr>
    </w:tbl>
    <w:p w:rsidR="0024358C" w:rsidRDefault="0024358C" w:rsidP="003C7879">
      <w:pPr>
        <w:jc w:val="center"/>
        <w:rPr>
          <w:rFonts w:ascii="Arial" w:hAnsi="Arial" w:cs="Arial"/>
          <w:sz w:val="24"/>
          <w:szCs w:val="24"/>
          <w:lang w:val="es-ES_tradnl"/>
        </w:rPr>
      </w:pPr>
    </w:p>
    <w:p w:rsidR="0024358C" w:rsidRDefault="00182AB9"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457" w:rsidRDefault="00461457" w:rsidP="00BD2D94">
      <w:pP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461457" w:rsidRDefault="007F57F7" w:rsidP="00461457">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325D26">
        <w:rPr>
          <w:rFonts w:ascii="Arial" w:hAnsi="Arial" w:cs="Arial"/>
          <w:b/>
          <w:sz w:val="24"/>
          <w:szCs w:val="24"/>
          <w:lang w:val="es-ES_tradnl"/>
        </w:rPr>
        <w:t>280</w:t>
      </w:r>
      <w:r w:rsidR="00BF7055" w:rsidRPr="00201D65">
        <w:rPr>
          <w:rFonts w:ascii="Arial" w:hAnsi="Arial" w:cs="Arial"/>
          <w:b/>
          <w:sz w:val="24"/>
          <w:szCs w:val="24"/>
          <w:lang w:val="es-ES_tradnl"/>
        </w:rPr>
        <w:t xml:space="preserve"> </w:t>
      </w:r>
      <w:r w:rsidR="00461457">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w:t>
      </w:r>
      <w:r w:rsidR="00461457">
        <w:rPr>
          <w:rFonts w:ascii="Arial" w:hAnsi="Arial" w:cs="Arial"/>
          <w:sz w:val="24"/>
          <w:szCs w:val="24"/>
          <w:lang w:val="es-ES_tradnl"/>
        </w:rPr>
        <w:t xml:space="preserve"> el siguiente:</w:t>
      </w:r>
    </w:p>
    <w:p w:rsidR="00461457" w:rsidRDefault="00461457"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 xml:space="preserve">Concluidos </w:t>
            </w:r>
            <w:r w:rsidR="00461457" w:rsidRPr="00841795">
              <w:rPr>
                <w:rFonts w:ascii="Arial" w:hAnsi="Arial" w:cs="Arial"/>
                <w:sz w:val="24"/>
                <w:szCs w:val="24"/>
                <w:lang w:val="es-ES_tradnl"/>
              </w:rPr>
              <w:t xml:space="preserve"> con convenio</w:t>
            </w:r>
          </w:p>
        </w:tc>
        <w:tc>
          <w:tcPr>
            <w:tcW w:w="1274" w:type="dxa"/>
            <w:vAlign w:val="bottom"/>
          </w:tcPr>
          <w:p w:rsidR="00461457" w:rsidRPr="00841795" w:rsidRDefault="00325D26"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26</w:t>
            </w:r>
          </w:p>
        </w:tc>
      </w:tr>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8B7C63" w:rsidP="008B7C63">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461457" w:rsidRPr="00841795" w:rsidRDefault="003737D1"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6</w:t>
            </w:r>
            <w:r w:rsidR="00325D26">
              <w:rPr>
                <w:rFonts w:ascii="Arial" w:hAnsi="Arial" w:cs="Arial"/>
                <w:sz w:val="24"/>
                <w:szCs w:val="24"/>
                <w:lang w:val="es-ES_tradnl"/>
              </w:rPr>
              <w:t>2</w:t>
            </w:r>
          </w:p>
        </w:tc>
      </w:tr>
      <w:tr w:rsidR="00461457" w:rsidRPr="00841795" w:rsidTr="00D77576">
        <w:trPr>
          <w:trHeight w:val="367"/>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461457" w:rsidP="000D303C">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461457" w:rsidRPr="00841795" w:rsidRDefault="00325D26"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192</w:t>
            </w:r>
          </w:p>
        </w:tc>
      </w:tr>
      <w:tr w:rsidR="00461457" w:rsidTr="00D77576">
        <w:trPr>
          <w:jc w:val="center"/>
        </w:trPr>
        <w:tc>
          <w:tcPr>
            <w:tcW w:w="4788" w:type="dxa"/>
          </w:tcPr>
          <w:p w:rsidR="00965BB8" w:rsidRPr="00841795" w:rsidRDefault="00965BB8" w:rsidP="000D303C">
            <w:pPr>
              <w:spacing w:after="0" w:line="240" w:lineRule="auto"/>
              <w:rPr>
                <w:rFonts w:ascii="Arial" w:hAnsi="Arial" w:cs="Arial"/>
                <w:b/>
                <w:sz w:val="24"/>
                <w:szCs w:val="24"/>
                <w:lang w:val="es-ES_tradnl"/>
              </w:rPr>
            </w:pPr>
          </w:p>
          <w:p w:rsidR="00461457" w:rsidRPr="00841795" w:rsidRDefault="00461457" w:rsidP="000D303C">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461457" w:rsidRPr="00841795" w:rsidRDefault="00325D26" w:rsidP="00BA513E">
            <w:pPr>
              <w:spacing w:after="0" w:line="240" w:lineRule="auto"/>
              <w:jc w:val="center"/>
              <w:rPr>
                <w:rFonts w:ascii="Arial" w:hAnsi="Arial" w:cs="Arial"/>
                <w:b/>
                <w:sz w:val="24"/>
                <w:szCs w:val="24"/>
                <w:lang w:val="es-ES_tradnl"/>
              </w:rPr>
            </w:pPr>
            <w:r>
              <w:rPr>
                <w:rFonts w:ascii="Arial" w:hAnsi="Arial" w:cs="Arial"/>
                <w:b/>
                <w:sz w:val="24"/>
                <w:szCs w:val="24"/>
                <w:lang w:val="es-ES_tradnl"/>
              </w:rPr>
              <w:t>280</w:t>
            </w:r>
          </w:p>
        </w:tc>
      </w:tr>
    </w:tbl>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820848" w:rsidRDefault="00820848" w:rsidP="00BD2D94">
      <w:pPr>
        <w:jc w:val="center"/>
        <w:rPr>
          <w:rFonts w:ascii="Arial" w:hAnsi="Arial" w:cs="Arial"/>
          <w:sz w:val="24"/>
          <w:szCs w:val="24"/>
          <w:lang w:val="es-ES_tradnl"/>
        </w:rPr>
      </w:pPr>
    </w:p>
    <w:p w:rsidR="00461457" w:rsidRDefault="00867AC4" w:rsidP="00BD2D94">
      <w:pPr>
        <w:jc w:val="center"/>
        <w:rPr>
          <w:rFonts w:ascii="Arial" w:hAnsi="Arial" w:cs="Arial"/>
          <w:sz w:val="24"/>
          <w:szCs w:val="24"/>
          <w:lang w:val="es-ES_tradnl"/>
        </w:rPr>
      </w:pPr>
      <w:r>
        <w:rPr>
          <w:rFonts w:ascii="Arial" w:hAnsi="Arial" w:cs="Arial"/>
          <w:sz w:val="24"/>
          <w:szCs w:val="24"/>
          <w:lang w:val="es-ES_tradnl"/>
        </w:rPr>
        <w:t>MATERIA MERCANTIL</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Del total de asuntos competencia del Centro,</w:t>
      </w:r>
      <w:r w:rsidR="0071539B">
        <w:rPr>
          <w:rFonts w:ascii="Arial" w:hAnsi="Arial" w:cs="Arial"/>
          <w:sz w:val="24"/>
          <w:szCs w:val="24"/>
          <w:lang w:val="es-ES_tradnl"/>
        </w:rPr>
        <w:t xml:space="preserve"> 21</w:t>
      </w:r>
      <w:r w:rsidR="00DB12B9">
        <w:rPr>
          <w:rFonts w:ascii="Arial" w:hAnsi="Arial" w:cs="Arial"/>
          <w:sz w:val="24"/>
          <w:szCs w:val="24"/>
          <w:lang w:val="es-ES_tradnl"/>
        </w:rPr>
        <w:t xml:space="preserve"> </w:t>
      </w:r>
      <w:r>
        <w:rPr>
          <w:rFonts w:ascii="Arial" w:hAnsi="Arial" w:cs="Arial"/>
          <w:sz w:val="24"/>
          <w:szCs w:val="24"/>
          <w:lang w:val="es-ES_tradnl"/>
        </w:rPr>
        <w:t>co</w:t>
      </w:r>
      <w:r w:rsidR="001B5710">
        <w:rPr>
          <w:rFonts w:ascii="Arial" w:hAnsi="Arial" w:cs="Arial"/>
          <w:sz w:val="24"/>
          <w:szCs w:val="24"/>
          <w:lang w:val="es-ES_tradnl"/>
        </w:rPr>
        <w:t xml:space="preserve">rresponden a la materia </w:t>
      </w:r>
      <w:r>
        <w:rPr>
          <w:rFonts w:ascii="Arial" w:hAnsi="Arial" w:cs="Arial"/>
          <w:sz w:val="24"/>
          <w:szCs w:val="24"/>
          <w:lang w:val="es-ES_tradnl"/>
        </w:rPr>
        <w:t>mercantil, presentándose casuísticamente de la siguiente manera:</w:t>
      </w:r>
      <w:r w:rsidRPr="00867AC4">
        <w:rPr>
          <w:rFonts w:ascii="Arial" w:hAnsi="Arial" w:cs="Arial"/>
          <w:sz w:val="24"/>
          <w:szCs w:val="24"/>
          <w:lang w:val="es-ES_tradnl"/>
        </w:rPr>
        <w:t xml:space="preserve"> </w:t>
      </w:r>
    </w:p>
    <w:p w:rsidR="00867AC4" w:rsidRPr="000633FF" w:rsidRDefault="00867AC4" w:rsidP="00867AC4">
      <w:pPr>
        <w:spacing w:after="0" w:line="240" w:lineRule="auto"/>
        <w:rPr>
          <w:rFonts w:ascii="Arial" w:hAnsi="Arial" w:cs="Arial"/>
          <w:sz w:val="24"/>
          <w:szCs w:val="24"/>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867AC4"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 títulos de crédito</w:t>
            </w:r>
          </w:p>
        </w:tc>
        <w:tc>
          <w:tcPr>
            <w:tcW w:w="1320" w:type="dxa"/>
            <w:shd w:val="clear" w:color="auto" w:fill="FFFFFF" w:themeFill="background1"/>
            <w:hideMark/>
          </w:tcPr>
          <w:p w:rsidR="00867AC4" w:rsidRPr="0055308B" w:rsidRDefault="0039616C" w:rsidP="008B7C63">
            <w:pPr>
              <w:spacing w:after="0" w:line="240" w:lineRule="auto"/>
              <w:jc w:val="center"/>
              <w:rPr>
                <w:rFonts w:ascii="Arial" w:hAnsi="Arial" w:cs="Arial"/>
                <w:bCs/>
                <w:sz w:val="24"/>
                <w:szCs w:val="24"/>
                <w:lang w:val="es-ES_tradnl"/>
              </w:rPr>
            </w:pPr>
            <w:r>
              <w:rPr>
                <w:rFonts w:ascii="Arial" w:hAnsi="Arial" w:cs="Arial"/>
                <w:bCs/>
                <w:sz w:val="24"/>
                <w:szCs w:val="24"/>
                <w:lang w:val="es-ES_tradnl"/>
              </w:rPr>
              <w:t>2</w:t>
            </w:r>
            <w:r w:rsidR="0071539B">
              <w:rPr>
                <w:rFonts w:ascii="Arial" w:hAnsi="Arial" w:cs="Arial"/>
                <w:bCs/>
                <w:sz w:val="24"/>
                <w:szCs w:val="24"/>
                <w:lang w:val="es-ES_tradnl"/>
              </w:rPr>
              <w:t>0</w:t>
            </w:r>
          </w:p>
        </w:tc>
      </w:tr>
      <w:tr w:rsidR="00867AC4"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al incumplimiento de un contrato</w:t>
            </w:r>
          </w:p>
        </w:tc>
        <w:tc>
          <w:tcPr>
            <w:tcW w:w="1320" w:type="dxa"/>
            <w:shd w:val="clear" w:color="auto" w:fill="FFFFFF" w:themeFill="background1"/>
            <w:hideMark/>
          </w:tcPr>
          <w:p w:rsidR="00867AC4" w:rsidRPr="0055308B" w:rsidRDefault="0071539B"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0</w:t>
            </w:r>
          </w:p>
        </w:tc>
      </w:tr>
      <w:tr w:rsidR="00867AC4" w:rsidRPr="00201D65" w:rsidTr="001B5710">
        <w:trPr>
          <w:trHeight w:val="264"/>
        </w:trPr>
        <w:tc>
          <w:tcPr>
            <w:tcW w:w="7717" w:type="dxa"/>
            <w:shd w:val="clear" w:color="auto" w:fill="FFFFFF" w:themeFill="background1"/>
            <w:hideMark/>
          </w:tcPr>
          <w:p w:rsidR="00867AC4" w:rsidRPr="00201D65" w:rsidRDefault="0055308B" w:rsidP="0071539B">
            <w:pPr>
              <w:spacing w:after="0" w:line="240" w:lineRule="auto"/>
              <w:jc w:val="both"/>
              <w:rPr>
                <w:rFonts w:ascii="Arial" w:hAnsi="Arial" w:cs="Arial"/>
                <w:bCs/>
                <w:sz w:val="24"/>
                <w:szCs w:val="24"/>
                <w:lang w:val="es-ES_tradnl"/>
              </w:rPr>
            </w:pPr>
            <w:r>
              <w:rPr>
                <w:rFonts w:ascii="Arial" w:hAnsi="Arial" w:cs="Arial"/>
                <w:bCs/>
                <w:sz w:val="24"/>
                <w:szCs w:val="24"/>
                <w:lang w:val="es-ES_tradnl"/>
              </w:rPr>
              <w:t>O</w:t>
            </w:r>
            <w:r w:rsidRPr="00201D65">
              <w:rPr>
                <w:rFonts w:ascii="Arial" w:hAnsi="Arial" w:cs="Arial"/>
                <w:bCs/>
                <w:sz w:val="24"/>
                <w:szCs w:val="24"/>
                <w:lang w:val="es-ES_tradnl"/>
              </w:rPr>
              <w:t>tros asuntos</w:t>
            </w:r>
            <w:r w:rsidR="0071539B">
              <w:rPr>
                <w:rFonts w:ascii="Arial" w:hAnsi="Arial" w:cs="Arial"/>
                <w:bCs/>
                <w:sz w:val="24"/>
                <w:szCs w:val="24"/>
                <w:lang w:val="es-ES_tradnl"/>
              </w:rPr>
              <w:t xml:space="preserve"> (</w:t>
            </w:r>
            <w:r w:rsidR="0071539B">
              <w:rPr>
                <w:sz w:val="24"/>
                <w:szCs w:val="24"/>
                <w:lang w:val="es-ES_tradnl"/>
              </w:rPr>
              <w:t xml:space="preserve"> solicita la devolución de garantía prendaria a casa de empeño ante la liquidación de su crédito</w:t>
            </w:r>
            <w:r>
              <w:rPr>
                <w:rFonts w:ascii="Arial" w:hAnsi="Arial" w:cs="Arial"/>
                <w:bCs/>
                <w:sz w:val="24"/>
                <w:szCs w:val="24"/>
                <w:lang w:val="es-ES_tradnl"/>
              </w:rPr>
              <w:t>)</w:t>
            </w:r>
          </w:p>
        </w:tc>
        <w:tc>
          <w:tcPr>
            <w:tcW w:w="1320" w:type="dxa"/>
            <w:shd w:val="clear" w:color="auto" w:fill="FFFFFF" w:themeFill="background1"/>
            <w:hideMark/>
          </w:tcPr>
          <w:p w:rsidR="00867AC4" w:rsidRPr="0055308B" w:rsidRDefault="0071539B"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867AC4" w:rsidRPr="00201D65" w:rsidTr="001B5710">
        <w:trPr>
          <w:trHeight w:val="264"/>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867AC4" w:rsidRPr="00201D65" w:rsidRDefault="0039616C"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CF55A9">
              <w:rPr>
                <w:rFonts w:ascii="Arial" w:hAnsi="Arial" w:cs="Arial"/>
                <w:b/>
                <w:sz w:val="24"/>
                <w:szCs w:val="24"/>
                <w:lang w:val="es-ES_tradnl"/>
              </w:rPr>
              <w:t>1</w:t>
            </w:r>
          </w:p>
        </w:tc>
      </w:tr>
    </w:tbl>
    <w:p w:rsidR="00820848" w:rsidRDefault="00820848" w:rsidP="00867AC4">
      <w:pPr>
        <w:tabs>
          <w:tab w:val="left" w:pos="4820"/>
        </w:tabs>
        <w:jc w:val="center"/>
        <w:rPr>
          <w:noProof/>
          <w:sz w:val="24"/>
          <w:szCs w:val="24"/>
          <w:lang w:val="es-ES" w:eastAsia="es-ES"/>
        </w:rPr>
      </w:pPr>
    </w:p>
    <w:p w:rsidR="00867AC4" w:rsidRDefault="001B5710" w:rsidP="00867AC4">
      <w:pPr>
        <w:tabs>
          <w:tab w:val="left" w:pos="4820"/>
        </w:tabs>
        <w:jc w:val="center"/>
        <w:rPr>
          <w:rFonts w:ascii="Arial" w:hAnsi="Arial" w:cs="Arial"/>
          <w:sz w:val="24"/>
          <w:szCs w:val="24"/>
          <w:lang w:val="es-ES_tradnl"/>
        </w:rPr>
      </w:pPr>
      <w:r>
        <w:rPr>
          <w:noProof/>
          <w:sz w:val="24"/>
          <w:szCs w:val="24"/>
          <w:lang w:val="es-ES" w:eastAsia="es-ES"/>
        </w:rPr>
        <w:br w:type="textWrapping" w:clear="all"/>
      </w:r>
      <w:r w:rsidR="00867AC4">
        <w:rPr>
          <w:noProof/>
          <w:sz w:val="24"/>
          <w:szCs w:val="24"/>
          <w:lang w:val="es-MX" w:eastAsia="es-MX"/>
        </w:rPr>
        <w:drawing>
          <wp:inline distT="0" distB="0" distL="0" distR="0">
            <wp:extent cx="5438775" cy="3524250"/>
            <wp:effectExtent l="19050" t="0" r="9525"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 xml:space="preserve">                           </w:t>
      </w:r>
    </w:p>
    <w:p w:rsidR="00867AC4" w:rsidRDefault="00867AC4"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820848" w:rsidRDefault="00820848" w:rsidP="0051121E">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lastRenderedPageBreak/>
        <w:t>ETAPA EN LA QUE SE ENCUENTRAN:</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896765">
        <w:rPr>
          <w:rFonts w:ascii="Arial" w:hAnsi="Arial" w:cs="Arial"/>
          <w:b/>
          <w:sz w:val="24"/>
          <w:szCs w:val="24"/>
          <w:lang w:val="es-ES_tradnl"/>
        </w:rPr>
        <w:t>21</w:t>
      </w:r>
      <w:r>
        <w:rPr>
          <w:rFonts w:ascii="Arial" w:hAnsi="Arial" w:cs="Arial"/>
          <w:b/>
          <w:sz w:val="24"/>
          <w:szCs w:val="24"/>
          <w:lang w:val="es-ES_tradnl"/>
        </w:rPr>
        <w:t xml:space="preserve"> </w:t>
      </w:r>
      <w:r>
        <w:rPr>
          <w:rFonts w:ascii="Arial" w:hAnsi="Arial" w:cs="Arial"/>
          <w:sz w:val="24"/>
          <w:szCs w:val="24"/>
          <w:lang w:val="es-ES_tradnl"/>
        </w:rPr>
        <w:t>invitaciones relativas a la ma</w:t>
      </w:r>
      <w:r w:rsidR="002D2B08">
        <w:rPr>
          <w:rFonts w:ascii="Arial" w:hAnsi="Arial" w:cs="Arial"/>
          <w:sz w:val="24"/>
          <w:szCs w:val="24"/>
          <w:lang w:val="es-ES_tradnl"/>
        </w:rPr>
        <w:t xml:space="preserve">teria </w:t>
      </w:r>
      <w:r>
        <w:rPr>
          <w:rFonts w:ascii="Arial" w:hAnsi="Arial" w:cs="Arial"/>
          <w:sz w:val="24"/>
          <w:szCs w:val="24"/>
          <w:lang w:val="es-ES_tradnl"/>
        </w:rPr>
        <w:t>mercantil, de las cuales, fueron aceptadas por la contraparte para iniciación de procedimiento,</w:t>
      </w:r>
      <w:r>
        <w:rPr>
          <w:rFonts w:ascii="Arial" w:hAnsi="Arial" w:cs="Arial"/>
          <w:b/>
          <w:sz w:val="24"/>
          <w:szCs w:val="24"/>
          <w:lang w:val="es-ES_tradnl"/>
        </w:rPr>
        <w:t xml:space="preserve"> </w:t>
      </w:r>
      <w:r w:rsidR="00896765">
        <w:rPr>
          <w:rFonts w:ascii="Arial" w:hAnsi="Arial" w:cs="Arial"/>
          <w:b/>
          <w:sz w:val="24"/>
          <w:szCs w:val="24"/>
          <w:lang w:val="es-ES_tradnl"/>
        </w:rPr>
        <w:t>20</w:t>
      </w:r>
      <w:r>
        <w:rPr>
          <w:rFonts w:ascii="Arial" w:hAnsi="Arial" w:cs="Arial"/>
          <w:b/>
          <w:sz w:val="24"/>
          <w:szCs w:val="24"/>
          <w:lang w:val="es-ES_tradnl"/>
        </w:rPr>
        <w:t xml:space="preserve"> </w:t>
      </w:r>
      <w:r>
        <w:rPr>
          <w:rFonts w:ascii="Arial" w:hAnsi="Arial" w:cs="Arial"/>
          <w:sz w:val="24"/>
          <w:szCs w:val="24"/>
          <w:lang w:val="es-ES_tradnl"/>
        </w:rPr>
        <w:t xml:space="preserve">asuntos. El resto </w:t>
      </w:r>
      <w:r w:rsidRPr="00201D65">
        <w:rPr>
          <w:rFonts w:ascii="Arial" w:hAnsi="Arial" w:cs="Arial"/>
          <w:b/>
          <w:sz w:val="24"/>
          <w:szCs w:val="24"/>
          <w:lang w:val="es-ES_tradnl"/>
        </w:rPr>
        <w:t>(</w:t>
      </w:r>
      <w:r w:rsidR="00896765">
        <w:rPr>
          <w:rFonts w:ascii="Arial" w:hAnsi="Arial" w:cs="Arial"/>
          <w:b/>
          <w:sz w:val="24"/>
          <w:szCs w:val="24"/>
          <w:lang w:val="es-ES_tradnl"/>
        </w:rPr>
        <w:t>1</w:t>
      </w:r>
      <w:r w:rsidRPr="00201D65">
        <w:rPr>
          <w:rFonts w:ascii="Arial" w:hAnsi="Arial" w:cs="Arial"/>
          <w:b/>
          <w:sz w:val="24"/>
          <w:szCs w:val="24"/>
          <w:lang w:val="es-ES_tradnl"/>
        </w:rPr>
        <w:t>),</w:t>
      </w:r>
      <w:r>
        <w:rPr>
          <w:rFonts w:ascii="Arial" w:hAnsi="Arial" w:cs="Arial"/>
          <w:sz w:val="24"/>
          <w:szCs w:val="24"/>
          <w:lang w:val="es-ES_tradnl"/>
        </w:rPr>
        <w:t xml:space="preserve"> fueron no aceptadas.</w:t>
      </w:r>
    </w:p>
    <w:p w:rsidR="00867AC4" w:rsidRDefault="00867AC4" w:rsidP="00867AC4">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867AC4" w:rsidRPr="0055308B" w:rsidRDefault="00927602"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2</w:t>
            </w:r>
            <w:r w:rsidR="00896765">
              <w:rPr>
                <w:rFonts w:ascii="Arial" w:hAnsi="Arial" w:cs="Arial"/>
                <w:sz w:val="24"/>
                <w:szCs w:val="24"/>
                <w:lang w:val="es-ES_tradnl"/>
              </w:rPr>
              <w:t>0</w:t>
            </w:r>
          </w:p>
        </w:tc>
      </w:tr>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No aceptadas</w:t>
            </w:r>
          </w:p>
        </w:tc>
        <w:tc>
          <w:tcPr>
            <w:tcW w:w="1274" w:type="dxa"/>
            <w:vAlign w:val="bottom"/>
          </w:tcPr>
          <w:p w:rsidR="00867AC4" w:rsidRPr="0055308B" w:rsidRDefault="00896765"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1</w:t>
            </w:r>
          </w:p>
        </w:tc>
      </w:tr>
      <w:tr w:rsidR="00867AC4" w:rsidTr="00867AC4">
        <w:trPr>
          <w:jc w:val="center"/>
        </w:trPr>
        <w:tc>
          <w:tcPr>
            <w:tcW w:w="4788" w:type="dxa"/>
          </w:tcPr>
          <w:p w:rsidR="00867AC4" w:rsidRDefault="00867AC4" w:rsidP="00867AC4">
            <w:pPr>
              <w:spacing w:after="0" w:line="240" w:lineRule="auto"/>
              <w:rPr>
                <w:rFonts w:ascii="Arial" w:hAnsi="Arial" w:cs="Arial"/>
                <w:b/>
                <w:sz w:val="24"/>
                <w:szCs w:val="24"/>
                <w:lang w:val="es-ES_tradnl"/>
              </w:rPr>
            </w:pPr>
          </w:p>
          <w:p w:rsidR="00867AC4" w:rsidRPr="0051065A" w:rsidRDefault="00867AC4" w:rsidP="00867AC4">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867AC4" w:rsidRPr="00B96D79" w:rsidRDefault="00927602"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896765">
              <w:rPr>
                <w:rFonts w:ascii="Arial" w:hAnsi="Arial" w:cs="Arial"/>
                <w:b/>
                <w:sz w:val="24"/>
                <w:szCs w:val="24"/>
                <w:lang w:val="es-ES_tradnl"/>
              </w:rPr>
              <w:t>1</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7137ED">
        <w:rPr>
          <w:rFonts w:ascii="Arial" w:hAnsi="Arial" w:cs="Arial"/>
          <w:b/>
          <w:sz w:val="24"/>
          <w:szCs w:val="24"/>
          <w:lang w:val="es-ES_tradnl"/>
        </w:rPr>
        <w:t>20</w:t>
      </w:r>
      <w:r w:rsidRPr="00201D65">
        <w:rPr>
          <w:rFonts w:ascii="Arial" w:hAnsi="Arial" w:cs="Arial"/>
          <w:b/>
          <w:sz w:val="24"/>
          <w:szCs w:val="24"/>
          <w:lang w:val="es-ES_tradnl"/>
        </w:rPr>
        <w:t xml:space="preserve"> </w:t>
      </w:r>
      <w:r>
        <w:rPr>
          <w:rFonts w:ascii="Arial" w:hAnsi="Arial" w:cs="Arial"/>
          <w:sz w:val="24"/>
          <w:szCs w:val="24"/>
          <w:lang w:val="es-ES_tradnl"/>
        </w:rPr>
        <w:t>mediaciones o conciliaciones aceptadas, el estado en que se encuentran es el siguiente:</w:t>
      </w: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w:t>
            </w:r>
            <w:r w:rsidR="00867AC4" w:rsidRPr="00841795">
              <w:rPr>
                <w:rFonts w:ascii="Arial" w:hAnsi="Arial" w:cs="Arial"/>
                <w:sz w:val="24"/>
                <w:szCs w:val="24"/>
                <w:lang w:val="es-ES_tradnl"/>
              </w:rPr>
              <w:t xml:space="preserve"> con convenio</w:t>
            </w:r>
          </w:p>
        </w:tc>
        <w:tc>
          <w:tcPr>
            <w:tcW w:w="1274" w:type="dxa"/>
            <w:vAlign w:val="bottom"/>
          </w:tcPr>
          <w:p w:rsidR="00867AC4" w:rsidRPr="00841795" w:rsidRDefault="007137ED"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3</w:t>
            </w:r>
          </w:p>
        </w:tc>
      </w:tr>
      <w:tr w:rsidR="00867AC4"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867AC4" w:rsidRPr="00841795" w:rsidRDefault="007137ED"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2</w:t>
            </w:r>
          </w:p>
        </w:tc>
      </w:tr>
      <w:tr w:rsidR="00867AC4" w:rsidRPr="00841795" w:rsidTr="00867AC4">
        <w:trPr>
          <w:trHeight w:val="367"/>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867AC4" w:rsidP="00867AC4">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867AC4" w:rsidRPr="00841795" w:rsidRDefault="007137ED" w:rsidP="007D05BF">
            <w:pPr>
              <w:spacing w:after="0" w:line="240" w:lineRule="auto"/>
              <w:jc w:val="center"/>
              <w:rPr>
                <w:rFonts w:ascii="Arial" w:hAnsi="Arial" w:cs="Arial"/>
                <w:sz w:val="24"/>
                <w:szCs w:val="24"/>
                <w:lang w:val="es-ES_tradnl"/>
              </w:rPr>
            </w:pPr>
            <w:r>
              <w:rPr>
                <w:rFonts w:ascii="Arial" w:hAnsi="Arial" w:cs="Arial"/>
                <w:sz w:val="24"/>
                <w:szCs w:val="24"/>
                <w:lang w:val="es-ES_tradnl"/>
              </w:rPr>
              <w:t>15</w:t>
            </w:r>
          </w:p>
        </w:tc>
      </w:tr>
      <w:tr w:rsidR="00867AC4" w:rsidTr="00867AC4">
        <w:trPr>
          <w:jc w:val="center"/>
        </w:trPr>
        <w:tc>
          <w:tcPr>
            <w:tcW w:w="4788" w:type="dxa"/>
          </w:tcPr>
          <w:p w:rsidR="00867AC4" w:rsidRPr="00841795" w:rsidRDefault="00867AC4" w:rsidP="00867AC4">
            <w:pPr>
              <w:spacing w:after="0" w:line="240" w:lineRule="auto"/>
              <w:rPr>
                <w:rFonts w:ascii="Arial" w:hAnsi="Arial" w:cs="Arial"/>
                <w:b/>
                <w:sz w:val="24"/>
                <w:szCs w:val="24"/>
                <w:lang w:val="es-ES_tradnl"/>
              </w:rPr>
            </w:pPr>
          </w:p>
          <w:p w:rsidR="00867AC4" w:rsidRPr="00841795" w:rsidRDefault="00867AC4" w:rsidP="00867AC4">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867AC4" w:rsidRPr="00841795" w:rsidRDefault="00927602" w:rsidP="007D05BF">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7137ED">
              <w:rPr>
                <w:rFonts w:ascii="Arial" w:hAnsi="Arial" w:cs="Arial"/>
                <w:b/>
                <w:sz w:val="24"/>
                <w:szCs w:val="24"/>
                <w:lang w:val="es-ES_tradnl"/>
              </w:rPr>
              <w:t>0</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7AC4" w:rsidRDefault="00867AC4" w:rsidP="00867AC4">
      <w:pPr>
        <w:jc w:val="center"/>
        <w:rPr>
          <w:rFonts w:ascii="Arial" w:hAnsi="Arial" w:cs="Arial"/>
          <w:sz w:val="24"/>
          <w:szCs w:val="24"/>
          <w:lang w:val="es-ES_tradnl"/>
        </w:rPr>
      </w:pPr>
    </w:p>
    <w:p w:rsidR="00461457" w:rsidRDefault="00461457" w:rsidP="00867AC4">
      <w:pPr>
        <w:jc w:val="both"/>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2D2B08" w:rsidRDefault="002D2B08" w:rsidP="003C7879">
      <w:pPr>
        <w:jc w:val="center"/>
        <w:rPr>
          <w:rFonts w:ascii="Arial" w:hAnsi="Arial" w:cs="Arial"/>
          <w:sz w:val="24"/>
          <w:szCs w:val="24"/>
          <w:lang w:val="es-ES_tradnl"/>
        </w:rPr>
      </w:pPr>
    </w:p>
    <w:p w:rsidR="002D2B08" w:rsidRDefault="002D2B08" w:rsidP="003C7879">
      <w:pPr>
        <w:jc w:val="center"/>
        <w:rPr>
          <w:rFonts w:ascii="Arial" w:hAnsi="Arial" w:cs="Arial"/>
          <w:sz w:val="24"/>
          <w:szCs w:val="24"/>
          <w:lang w:val="es-ES_tradnl"/>
        </w:rPr>
      </w:pPr>
    </w:p>
    <w:p w:rsidR="00820848" w:rsidRDefault="00820848" w:rsidP="003C7879">
      <w:pPr>
        <w:jc w:val="center"/>
        <w:rPr>
          <w:rFonts w:ascii="Arial" w:hAnsi="Arial" w:cs="Arial"/>
          <w:b/>
          <w:sz w:val="24"/>
          <w:szCs w:val="24"/>
          <w:lang w:val="es-ES_tradnl"/>
        </w:rPr>
      </w:pPr>
    </w:p>
    <w:p w:rsidR="00473367" w:rsidRDefault="00473367" w:rsidP="009F1E7A">
      <w:pP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Pr>
          <w:rFonts w:ascii="Arial" w:hAnsi="Arial" w:cs="Arial"/>
          <w:b/>
          <w:sz w:val="24"/>
          <w:szCs w:val="24"/>
          <w:lang w:val="es-ES_tradnl"/>
        </w:rPr>
        <w:tab/>
      </w:r>
      <w:r w:rsidRPr="00282ED6">
        <w:rPr>
          <w:rFonts w:ascii="Arial" w:hAnsi="Arial" w:cs="Arial"/>
          <w:b/>
          <w:sz w:val="24"/>
          <w:szCs w:val="24"/>
          <w:lang w:val="es-ES_tradnl"/>
        </w:rPr>
        <w:t>IMPACTO SOCIAL</w:t>
      </w:r>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El número de personas beneficiadas por la solución de conflictos a través del uso de los métodos alternos durante en el trimestre enero a marzo, es el siguiente:</w:t>
      </w:r>
    </w:p>
    <w:p w:rsidR="00032C13" w:rsidRDefault="00032C13" w:rsidP="00032C13">
      <w:pPr>
        <w:jc w:val="both"/>
        <w:rPr>
          <w:rFonts w:ascii="Arial" w:hAnsi="Arial" w:cs="Arial"/>
          <w:sz w:val="24"/>
          <w:szCs w:val="24"/>
          <w:lang w:val="es-ES_tradnl"/>
        </w:rPr>
      </w:pPr>
    </w:p>
    <w:tbl>
      <w:tblPr>
        <w:tblStyle w:val="Tablaconcuadrcula"/>
        <w:tblW w:w="0" w:type="auto"/>
        <w:tblInd w:w="1951" w:type="dxa"/>
        <w:tblLook w:val="04A0"/>
      </w:tblPr>
      <w:tblGrid>
        <w:gridCol w:w="2668"/>
        <w:gridCol w:w="3144"/>
      </w:tblGrid>
      <w:tr w:rsidR="00032C13" w:rsidTr="007F14FB">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3144" w:type="dxa"/>
          </w:tcPr>
          <w:p w:rsidR="00032C13" w:rsidRPr="00FA58D4" w:rsidRDefault="00032C13"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333</w:t>
            </w:r>
          </w:p>
        </w:tc>
      </w:tr>
      <w:tr w:rsidR="00032C13" w:rsidTr="007F14FB">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3144" w:type="dxa"/>
          </w:tcPr>
          <w:p w:rsidR="00032C13" w:rsidRPr="00FA58D4" w:rsidRDefault="00032C13"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8</w:t>
            </w:r>
          </w:p>
        </w:tc>
      </w:tr>
      <w:tr w:rsidR="00032C13" w:rsidTr="007F14FB">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3144" w:type="dxa"/>
          </w:tcPr>
          <w:p w:rsidR="00032C13" w:rsidRPr="00FA58D4" w:rsidRDefault="00032C13"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2</w:t>
            </w:r>
            <w:r w:rsidR="009012F6">
              <w:rPr>
                <w:rFonts w:ascii="Arial" w:hAnsi="Arial" w:cs="Arial"/>
                <w:b/>
                <w:sz w:val="24"/>
                <w:szCs w:val="24"/>
                <w:lang w:val="es-ES_tradnl"/>
              </w:rPr>
              <w:t>38</w:t>
            </w:r>
          </w:p>
        </w:tc>
      </w:tr>
      <w:tr w:rsidR="00032C13" w:rsidTr="007F14FB">
        <w:tc>
          <w:tcPr>
            <w:tcW w:w="2668" w:type="dxa"/>
          </w:tcPr>
          <w:p w:rsidR="00032C13" w:rsidRPr="00A00641" w:rsidRDefault="00032C13" w:rsidP="007F14FB">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3144" w:type="dxa"/>
          </w:tcPr>
          <w:p w:rsidR="00032C13" w:rsidRPr="00FA58D4" w:rsidRDefault="009012F6"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579</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032C13" w:rsidRDefault="00032C13" w:rsidP="00032C13">
      <w:pPr>
        <w:spacing w:after="120" w:line="360" w:lineRule="auto"/>
        <w:rPr>
          <w:rFonts w:ascii="Arial" w:hAnsi="Arial" w:cs="Arial"/>
          <w:noProof/>
          <w:sz w:val="24"/>
          <w:szCs w:val="24"/>
        </w:rPr>
      </w:pPr>
    </w:p>
    <w:p w:rsidR="00032C13" w:rsidRDefault="00032C13" w:rsidP="00032C13">
      <w:pPr>
        <w:spacing w:after="120" w:line="360" w:lineRule="auto"/>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5"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C13" w:rsidRDefault="00032C13" w:rsidP="00032C13">
      <w:pPr>
        <w:rPr>
          <w:rFonts w:ascii="Arial" w:hAnsi="Arial" w:cs="Arial"/>
          <w:sz w:val="24"/>
          <w:szCs w:val="24"/>
          <w:lang w:val="es-ES_tradnl"/>
        </w:rPr>
      </w:pPr>
    </w:p>
    <w:p w:rsidR="00473367" w:rsidRDefault="00473367" w:rsidP="00032C13">
      <w:pPr>
        <w:tabs>
          <w:tab w:val="left" w:pos="5404"/>
        </w:tabs>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sidRPr="00282ED6">
        <w:rPr>
          <w:rFonts w:ascii="Arial" w:hAnsi="Arial" w:cs="Arial"/>
          <w:b/>
          <w:sz w:val="24"/>
          <w:szCs w:val="24"/>
          <w:lang w:val="es-ES_tradnl"/>
        </w:rPr>
        <w:t xml:space="preserve">IMPACTO </w:t>
      </w:r>
      <w:r>
        <w:rPr>
          <w:rFonts w:ascii="Arial" w:hAnsi="Arial" w:cs="Arial"/>
          <w:b/>
          <w:sz w:val="24"/>
          <w:szCs w:val="24"/>
          <w:lang w:val="es-ES_tradnl"/>
        </w:rPr>
        <w:t>ECONOMICO</w:t>
      </w:r>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La cantidad total por materia recuperada mediante los asuntos resueltos a través del uso de los métodos alternos durante el trimestre de enero a marzo, es la siguiente:</w:t>
      </w:r>
    </w:p>
    <w:p w:rsidR="00032C13" w:rsidRDefault="00032C13" w:rsidP="00032C13">
      <w:pPr>
        <w:jc w:val="both"/>
        <w:rPr>
          <w:rFonts w:ascii="Arial" w:hAnsi="Arial" w:cs="Arial"/>
          <w:sz w:val="24"/>
          <w:szCs w:val="24"/>
          <w:lang w:val="es-ES_tradnl"/>
        </w:rPr>
      </w:pPr>
    </w:p>
    <w:tbl>
      <w:tblPr>
        <w:tblStyle w:val="Tablaconcuadrcula"/>
        <w:tblW w:w="0" w:type="auto"/>
        <w:tblInd w:w="1668" w:type="dxa"/>
        <w:tblLook w:val="04A0"/>
      </w:tblPr>
      <w:tblGrid>
        <w:gridCol w:w="2951"/>
        <w:gridCol w:w="2860"/>
      </w:tblGrid>
      <w:tr w:rsidR="00032C13" w:rsidTr="007F14FB">
        <w:tc>
          <w:tcPr>
            <w:tcW w:w="295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860" w:type="dxa"/>
          </w:tcPr>
          <w:p w:rsidR="00032C13" w:rsidRPr="00FA58D4" w:rsidRDefault="00420C12"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10’487,678</w:t>
            </w:r>
          </w:p>
        </w:tc>
      </w:tr>
      <w:tr w:rsidR="00032C13" w:rsidTr="007F14FB">
        <w:tc>
          <w:tcPr>
            <w:tcW w:w="295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860" w:type="dxa"/>
          </w:tcPr>
          <w:p w:rsidR="00032C13" w:rsidRPr="00FA58D4" w:rsidRDefault="00420C12"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247,587</w:t>
            </w:r>
          </w:p>
        </w:tc>
      </w:tr>
      <w:tr w:rsidR="00032C13" w:rsidTr="007F14FB">
        <w:tc>
          <w:tcPr>
            <w:tcW w:w="2951"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860" w:type="dxa"/>
          </w:tcPr>
          <w:p w:rsidR="00032C13" w:rsidRPr="00FA58D4" w:rsidRDefault="00420C12"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1’286,957</w:t>
            </w:r>
          </w:p>
        </w:tc>
      </w:tr>
      <w:tr w:rsidR="00032C13" w:rsidTr="007F14FB">
        <w:tc>
          <w:tcPr>
            <w:tcW w:w="2951" w:type="dxa"/>
          </w:tcPr>
          <w:p w:rsidR="00032C13" w:rsidRPr="00A00641" w:rsidRDefault="00032C13" w:rsidP="007F14FB">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860" w:type="dxa"/>
          </w:tcPr>
          <w:p w:rsidR="00032C13" w:rsidRPr="00FA58D4" w:rsidRDefault="009012F6"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12</w:t>
            </w:r>
            <w:r w:rsidR="00EE67FB">
              <w:rPr>
                <w:rFonts w:ascii="Arial" w:hAnsi="Arial" w:cs="Arial"/>
                <w:b/>
                <w:sz w:val="24"/>
                <w:szCs w:val="24"/>
                <w:lang w:val="es-ES_tradnl"/>
              </w:rPr>
              <w:t>,022,222</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032C13" w:rsidRPr="00282ED6" w:rsidRDefault="00032C13" w:rsidP="00032C13">
      <w:pPr>
        <w:tabs>
          <w:tab w:val="left" w:pos="7755"/>
        </w:tabs>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6"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2C13" w:rsidRDefault="00032C13" w:rsidP="00032C13">
      <w:pPr>
        <w:jc w:val="center"/>
        <w:rPr>
          <w:rFonts w:ascii="Arial" w:hAnsi="Arial" w:cs="Arial"/>
          <w:sz w:val="24"/>
          <w:szCs w:val="24"/>
          <w:lang w:val="es-ES_tradnl"/>
        </w:rPr>
      </w:pPr>
    </w:p>
    <w:p w:rsidR="00032C13" w:rsidRDefault="00032C13" w:rsidP="003C7879">
      <w:pPr>
        <w:jc w:val="center"/>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326A37" w:rsidRPr="000247C2" w:rsidRDefault="00075CEC" w:rsidP="003C7879">
      <w:pPr>
        <w:jc w:val="center"/>
        <w:rPr>
          <w:rFonts w:ascii="Arial" w:hAnsi="Arial" w:cs="Arial"/>
          <w:b/>
          <w:sz w:val="24"/>
          <w:szCs w:val="24"/>
          <w:lang w:val="es-ES_tradnl"/>
        </w:rPr>
      </w:pPr>
      <w:r>
        <w:rPr>
          <w:rFonts w:ascii="Arial" w:hAnsi="Arial" w:cs="Arial"/>
          <w:b/>
          <w:sz w:val="24"/>
          <w:szCs w:val="24"/>
          <w:lang w:val="es-ES_tradnl"/>
        </w:rPr>
        <w:t>ASUNTOS CONCLUIDOS EN EL</w:t>
      </w:r>
      <w:r w:rsidR="00C270EB">
        <w:rPr>
          <w:rFonts w:ascii="Arial" w:hAnsi="Arial" w:cs="Arial"/>
          <w:b/>
          <w:sz w:val="24"/>
          <w:szCs w:val="24"/>
          <w:lang w:val="es-ES_tradnl"/>
        </w:rPr>
        <w:t xml:space="preserve"> </w:t>
      </w:r>
      <w:r w:rsidR="00DB12B9">
        <w:rPr>
          <w:rFonts w:ascii="Arial" w:hAnsi="Arial" w:cs="Arial"/>
          <w:b/>
          <w:sz w:val="24"/>
          <w:szCs w:val="24"/>
          <w:lang w:val="es-ES_tradnl"/>
        </w:rPr>
        <w:t>TRIMESTRE</w:t>
      </w:r>
      <w:r w:rsidR="00C270EB">
        <w:rPr>
          <w:rFonts w:ascii="Arial" w:hAnsi="Arial" w:cs="Arial"/>
          <w:b/>
          <w:sz w:val="24"/>
          <w:szCs w:val="24"/>
          <w:lang w:val="es-ES_tradnl"/>
        </w:rPr>
        <w:t>:</w:t>
      </w:r>
    </w:p>
    <w:p w:rsidR="0051065A" w:rsidRDefault="0051065A" w:rsidP="003C7879">
      <w:pPr>
        <w:jc w:val="center"/>
        <w:rPr>
          <w:rFonts w:ascii="Arial" w:hAnsi="Arial" w:cs="Arial"/>
          <w:sz w:val="24"/>
          <w:szCs w:val="24"/>
          <w:lang w:val="es-ES_tradnl"/>
        </w:rPr>
      </w:pPr>
    </w:p>
    <w:tbl>
      <w:tblPr>
        <w:tblStyle w:val="Tablaconcuadrcula"/>
        <w:tblpPr w:leftFromText="180" w:rightFromText="180" w:vertAnchor="text" w:tblpXSpec="center" w:tblpY="1"/>
        <w:tblOverlap w:val="never"/>
        <w:tblW w:w="0" w:type="auto"/>
        <w:tblLook w:val="04A0"/>
      </w:tblPr>
      <w:tblGrid>
        <w:gridCol w:w="4395"/>
        <w:gridCol w:w="1525"/>
      </w:tblGrid>
      <w:tr w:rsidR="00326A37" w:rsidRPr="00075CEC" w:rsidTr="007F14FB">
        <w:tc>
          <w:tcPr>
            <w:tcW w:w="4395" w:type="dxa"/>
          </w:tcPr>
          <w:p w:rsidR="009F5FE1" w:rsidRDefault="009F5FE1" w:rsidP="00075CEC">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por convenio</w:t>
            </w:r>
          </w:p>
        </w:tc>
        <w:tc>
          <w:tcPr>
            <w:tcW w:w="1525" w:type="dxa"/>
            <w:vAlign w:val="center"/>
          </w:tcPr>
          <w:p w:rsidR="00326A37" w:rsidRPr="00075CEC" w:rsidRDefault="00F41312" w:rsidP="0034251C">
            <w:pPr>
              <w:spacing w:after="0"/>
              <w:jc w:val="center"/>
              <w:rPr>
                <w:rFonts w:ascii="Arial" w:hAnsi="Arial" w:cs="Arial"/>
                <w:sz w:val="24"/>
                <w:szCs w:val="24"/>
                <w:lang w:val="es-ES_tradnl"/>
              </w:rPr>
            </w:pPr>
            <w:r>
              <w:rPr>
                <w:rFonts w:ascii="Arial" w:hAnsi="Arial" w:cs="Arial"/>
                <w:sz w:val="24"/>
                <w:szCs w:val="24"/>
                <w:lang w:val="es-ES_tradnl"/>
              </w:rPr>
              <w:t>91</w:t>
            </w:r>
          </w:p>
        </w:tc>
      </w:tr>
      <w:tr w:rsidR="00326A37" w:rsidRPr="00075CEC" w:rsidTr="007F14FB">
        <w:tc>
          <w:tcPr>
            <w:tcW w:w="4395" w:type="dxa"/>
          </w:tcPr>
          <w:p w:rsidR="009F5FE1" w:rsidRDefault="009F5FE1" w:rsidP="00C270EB">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Exitosamente</w:t>
            </w:r>
          </w:p>
        </w:tc>
        <w:tc>
          <w:tcPr>
            <w:tcW w:w="1525" w:type="dxa"/>
            <w:vAlign w:val="center"/>
          </w:tcPr>
          <w:p w:rsidR="00326A37" w:rsidRPr="00075CEC" w:rsidRDefault="00F41312" w:rsidP="0034251C">
            <w:pPr>
              <w:spacing w:after="0"/>
              <w:jc w:val="center"/>
              <w:rPr>
                <w:rFonts w:ascii="Arial" w:hAnsi="Arial" w:cs="Arial"/>
                <w:sz w:val="24"/>
                <w:szCs w:val="24"/>
                <w:lang w:val="es-ES_tradnl"/>
              </w:rPr>
            </w:pPr>
            <w:r>
              <w:rPr>
                <w:rFonts w:ascii="Arial" w:hAnsi="Arial" w:cs="Arial"/>
                <w:sz w:val="24"/>
                <w:szCs w:val="24"/>
                <w:lang w:val="es-ES_tradnl"/>
              </w:rPr>
              <w:t>72</w:t>
            </w:r>
          </w:p>
        </w:tc>
      </w:tr>
      <w:tr w:rsidR="00326A37" w:rsidRPr="00075CEC" w:rsidTr="007F14FB">
        <w:tc>
          <w:tcPr>
            <w:tcW w:w="4395" w:type="dxa"/>
          </w:tcPr>
          <w:p w:rsidR="00C270EB" w:rsidRPr="00075CEC" w:rsidRDefault="00C270EB" w:rsidP="00C270EB">
            <w:pPr>
              <w:spacing w:after="0"/>
              <w:jc w:val="center"/>
              <w:rPr>
                <w:rFonts w:ascii="Arial" w:hAnsi="Arial" w:cs="Arial"/>
                <w:b/>
                <w:sz w:val="24"/>
                <w:szCs w:val="24"/>
                <w:lang w:val="es-ES_tradnl"/>
              </w:rPr>
            </w:pPr>
          </w:p>
          <w:p w:rsidR="00326A37" w:rsidRPr="00075CEC" w:rsidRDefault="00326A37" w:rsidP="007F14FB">
            <w:pPr>
              <w:spacing w:after="0"/>
              <w:rPr>
                <w:rFonts w:ascii="Arial" w:hAnsi="Arial" w:cs="Arial"/>
                <w:b/>
                <w:sz w:val="24"/>
                <w:szCs w:val="24"/>
                <w:lang w:val="es-ES_tradnl"/>
              </w:rPr>
            </w:pPr>
            <w:r w:rsidRPr="00075CEC">
              <w:rPr>
                <w:rFonts w:ascii="Arial" w:hAnsi="Arial" w:cs="Arial"/>
                <w:b/>
                <w:sz w:val="24"/>
                <w:szCs w:val="24"/>
                <w:lang w:val="es-ES_tradnl"/>
              </w:rPr>
              <w:t xml:space="preserve">TOTAL </w:t>
            </w:r>
          </w:p>
        </w:tc>
        <w:tc>
          <w:tcPr>
            <w:tcW w:w="1525" w:type="dxa"/>
            <w:vAlign w:val="center"/>
          </w:tcPr>
          <w:p w:rsidR="007A1705" w:rsidRPr="00075CEC" w:rsidRDefault="00F41312" w:rsidP="0034251C">
            <w:pPr>
              <w:spacing w:after="0"/>
              <w:jc w:val="center"/>
              <w:rPr>
                <w:rFonts w:ascii="Arial" w:hAnsi="Arial" w:cs="Arial"/>
                <w:b/>
                <w:sz w:val="24"/>
                <w:szCs w:val="24"/>
                <w:lang w:val="es-ES_tradnl"/>
              </w:rPr>
            </w:pPr>
            <w:r>
              <w:rPr>
                <w:rFonts w:ascii="Arial" w:hAnsi="Arial" w:cs="Arial"/>
                <w:b/>
                <w:sz w:val="24"/>
                <w:szCs w:val="24"/>
                <w:lang w:val="es-ES_tradnl"/>
              </w:rPr>
              <w:t>163</w:t>
            </w:r>
          </w:p>
        </w:tc>
      </w:tr>
    </w:tbl>
    <w:p w:rsidR="00326A37" w:rsidRDefault="00326A37"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51065A" w:rsidRDefault="0051065A" w:rsidP="003C7879">
      <w:pPr>
        <w:jc w:val="center"/>
        <w:rPr>
          <w:rFonts w:ascii="Arial" w:hAnsi="Arial" w:cs="Arial"/>
          <w:sz w:val="24"/>
          <w:szCs w:val="24"/>
          <w:lang w:val="es-ES_tradnl"/>
        </w:rPr>
      </w:pPr>
    </w:p>
    <w:p w:rsidR="00A04B6A" w:rsidRDefault="00A04B6A" w:rsidP="003C7879">
      <w:pPr>
        <w:jc w:val="center"/>
        <w:rPr>
          <w:rFonts w:ascii="Arial" w:hAnsi="Arial" w:cs="Arial"/>
          <w:sz w:val="24"/>
          <w:szCs w:val="24"/>
          <w:lang w:val="es-ES_tradnl"/>
        </w:rPr>
      </w:pPr>
    </w:p>
    <w:p w:rsidR="00326A37" w:rsidRDefault="00326A37" w:rsidP="003C7879">
      <w:pPr>
        <w:jc w:val="center"/>
        <w:rPr>
          <w:rFonts w:ascii="Arial" w:hAnsi="Arial" w:cs="Arial"/>
          <w:sz w:val="24"/>
          <w:szCs w:val="24"/>
          <w:lang w:val="es-ES_tradnl"/>
        </w:rPr>
      </w:pPr>
      <w:r w:rsidRPr="00326A37">
        <w:rPr>
          <w:rFonts w:ascii="Arial" w:hAnsi="Arial" w:cs="Arial"/>
          <w:noProof/>
          <w:sz w:val="24"/>
          <w:szCs w:val="24"/>
          <w:lang w:val="es-MX" w:eastAsia="es-MX"/>
        </w:rPr>
        <w:drawing>
          <wp:inline distT="0" distB="0" distL="0" distR="0">
            <wp:extent cx="4752975" cy="3028950"/>
            <wp:effectExtent l="19050" t="0" r="9525" b="0"/>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744C" w:rsidRDefault="00C9744C" w:rsidP="003C7879">
      <w:pPr>
        <w:jc w:val="center"/>
        <w:rPr>
          <w:rFonts w:ascii="Arial" w:hAnsi="Arial" w:cs="Arial"/>
          <w:sz w:val="24"/>
          <w:szCs w:val="24"/>
          <w:lang w:val="es-ES_tradnl"/>
        </w:rPr>
      </w:pPr>
    </w:p>
    <w:p w:rsidR="009A560F" w:rsidRPr="009A560F" w:rsidRDefault="009A560F" w:rsidP="009A560F">
      <w:pPr>
        <w:tabs>
          <w:tab w:val="left" w:pos="2640"/>
        </w:tabs>
        <w:rPr>
          <w:rFonts w:ascii="Arial" w:hAnsi="Arial" w:cs="Arial"/>
          <w:sz w:val="24"/>
          <w:szCs w:val="24"/>
          <w:lang w:val="es-ES_tradnl"/>
        </w:rPr>
      </w:pPr>
    </w:p>
    <w:p w:rsidR="009A560F" w:rsidRPr="009A560F" w:rsidRDefault="009A560F" w:rsidP="009A560F">
      <w:pPr>
        <w:rPr>
          <w:rFonts w:ascii="Arial" w:hAnsi="Arial" w:cs="Arial"/>
          <w:sz w:val="24"/>
          <w:szCs w:val="24"/>
          <w:lang w:val="es-ES_tradnl"/>
        </w:rPr>
      </w:pPr>
    </w:p>
    <w:p w:rsidR="00C9744C" w:rsidRPr="009A560F" w:rsidRDefault="00C9744C" w:rsidP="009A560F">
      <w:pPr>
        <w:rPr>
          <w:rFonts w:ascii="Arial" w:hAnsi="Arial" w:cs="Arial"/>
          <w:sz w:val="24"/>
          <w:szCs w:val="24"/>
          <w:lang w:val="es-ES_tradnl"/>
        </w:rPr>
      </w:pPr>
    </w:p>
    <w:sectPr w:rsidR="00C9744C" w:rsidRPr="009A560F" w:rsidSect="001B5710">
      <w:headerReference w:type="default" r:id="rId21"/>
      <w:footerReference w:type="default" r:id="rId22"/>
      <w:pgSz w:w="12240" w:h="15840"/>
      <w:pgMar w:top="180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39" w:rsidRDefault="00975F39" w:rsidP="00D846D4">
      <w:pPr>
        <w:spacing w:after="0" w:line="240" w:lineRule="auto"/>
      </w:pPr>
      <w:r>
        <w:separator/>
      </w:r>
    </w:p>
  </w:endnote>
  <w:endnote w:type="continuationSeparator" w:id="0">
    <w:p w:rsidR="00975F39" w:rsidRDefault="00975F39" w:rsidP="00D8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01"/>
      <w:docPartObj>
        <w:docPartGallery w:val="Page Numbers (Bottom of Page)"/>
        <w:docPartUnique/>
      </w:docPartObj>
    </w:sdtPr>
    <w:sdtContent>
      <w:p w:rsidR="00B115BA" w:rsidRDefault="000C4819">
        <w:pPr>
          <w:pStyle w:val="Piedepgina"/>
          <w:jc w:val="right"/>
        </w:pPr>
        <w:fldSimple w:instr=" PAGE   \* MERGEFORMAT ">
          <w:r w:rsidR="00D25EBF">
            <w:rPr>
              <w:noProof/>
            </w:rPr>
            <w:t>14</w:t>
          </w:r>
        </w:fldSimple>
      </w:p>
    </w:sdtContent>
  </w:sdt>
  <w:p w:rsidR="00B115BA" w:rsidRDefault="00B11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39" w:rsidRDefault="00975F39" w:rsidP="00D846D4">
      <w:pPr>
        <w:spacing w:after="0" w:line="240" w:lineRule="auto"/>
      </w:pPr>
      <w:r>
        <w:separator/>
      </w:r>
    </w:p>
  </w:footnote>
  <w:footnote w:type="continuationSeparator" w:id="0">
    <w:p w:rsidR="00975F39" w:rsidRDefault="00975F39" w:rsidP="00D8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BA" w:rsidRDefault="00B115BA">
    <w:pPr>
      <w:pStyle w:val="Encabezado"/>
    </w:pPr>
    <w:r w:rsidRPr="00D846D4">
      <w:rPr>
        <w:noProof/>
        <w:lang w:val="es-MX" w:eastAsia="es-MX"/>
      </w:rPr>
      <w:drawing>
        <wp:anchor distT="0" distB="0" distL="114300" distR="114300" simplePos="0" relativeHeight="251660288" behindDoc="0" locked="0" layoutInCell="1" allowOverlap="1">
          <wp:simplePos x="0" y="0"/>
          <wp:positionH relativeFrom="column">
            <wp:posOffset>76200</wp:posOffset>
          </wp:positionH>
          <wp:positionV relativeFrom="paragraph">
            <wp:posOffset>-182880</wp:posOffset>
          </wp:positionV>
          <wp:extent cx="1179830" cy="933450"/>
          <wp:effectExtent l="19050" t="0" r="1270" b="0"/>
          <wp:wrapSquare wrapText="bothSides"/>
          <wp:docPr id="12" name="Imagen 2" descr="C:\Documents and Settings\cja01\My Documents\Logos\consejo de la judic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ja01\My Documents\Logos\consejo de la judicatura.JPG"/>
                  <pic:cNvPicPr>
                    <a:picLocks noChangeAspect="1" noChangeArrowheads="1"/>
                  </pic:cNvPicPr>
                </pic:nvPicPr>
                <pic:blipFill>
                  <a:blip r:embed="rId1"/>
                  <a:srcRect/>
                  <a:stretch>
                    <a:fillRect/>
                  </a:stretch>
                </pic:blipFill>
                <pic:spPr bwMode="auto">
                  <a:xfrm>
                    <a:off x="0" y="0"/>
                    <a:ext cx="1179830" cy="933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-259080</wp:posOffset>
          </wp:positionV>
          <wp:extent cx="1219200" cy="1009650"/>
          <wp:effectExtent l="19050" t="0" r="0" b="0"/>
          <wp:wrapSquare wrapText="bothSides"/>
          <wp:docPr id="11" name="10 Imagen" descr="logo ceja con 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a con nombre.jpg"/>
                  <pic:cNvPicPr/>
                </pic:nvPicPr>
                <pic:blipFill>
                  <a:blip r:embed="rId2"/>
                  <a:stretch>
                    <a:fillRect/>
                  </a:stretch>
                </pic:blipFill>
                <pic:spPr>
                  <a:xfrm>
                    <a:off x="0" y="0"/>
                    <a:ext cx="1219200" cy="10096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91842"/>
  </w:hdrShapeDefaults>
  <w:footnotePr>
    <w:footnote w:id="-1"/>
    <w:footnote w:id="0"/>
  </w:footnotePr>
  <w:endnotePr>
    <w:endnote w:id="-1"/>
    <w:endnote w:id="0"/>
  </w:endnotePr>
  <w:compat/>
  <w:rsids>
    <w:rsidRoot w:val="007F0E9F"/>
    <w:rsid w:val="00014C18"/>
    <w:rsid w:val="00015FEB"/>
    <w:rsid w:val="0002356C"/>
    <w:rsid w:val="00024197"/>
    <w:rsid w:val="000247C2"/>
    <w:rsid w:val="0002552F"/>
    <w:rsid w:val="00031A07"/>
    <w:rsid w:val="00032202"/>
    <w:rsid w:val="00032C13"/>
    <w:rsid w:val="00032F2B"/>
    <w:rsid w:val="00035F11"/>
    <w:rsid w:val="0004614D"/>
    <w:rsid w:val="00050491"/>
    <w:rsid w:val="0005052C"/>
    <w:rsid w:val="00060F6B"/>
    <w:rsid w:val="000668D2"/>
    <w:rsid w:val="00075CEC"/>
    <w:rsid w:val="00081EDC"/>
    <w:rsid w:val="00084F10"/>
    <w:rsid w:val="000937FE"/>
    <w:rsid w:val="000978B7"/>
    <w:rsid w:val="00097A4D"/>
    <w:rsid w:val="00097B51"/>
    <w:rsid w:val="000A2766"/>
    <w:rsid w:val="000A4EA3"/>
    <w:rsid w:val="000A772B"/>
    <w:rsid w:val="000B09CD"/>
    <w:rsid w:val="000B0B24"/>
    <w:rsid w:val="000B57E5"/>
    <w:rsid w:val="000B5D15"/>
    <w:rsid w:val="000B5D4D"/>
    <w:rsid w:val="000B64E4"/>
    <w:rsid w:val="000B6F2D"/>
    <w:rsid w:val="000C4819"/>
    <w:rsid w:val="000C6380"/>
    <w:rsid w:val="000D1331"/>
    <w:rsid w:val="000D303C"/>
    <w:rsid w:val="000D4EEB"/>
    <w:rsid w:val="000D5101"/>
    <w:rsid w:val="000D6691"/>
    <w:rsid w:val="000E27F0"/>
    <w:rsid w:val="000F2A27"/>
    <w:rsid w:val="00110953"/>
    <w:rsid w:val="00111D82"/>
    <w:rsid w:val="001138B9"/>
    <w:rsid w:val="00117BD3"/>
    <w:rsid w:val="00120E90"/>
    <w:rsid w:val="00124939"/>
    <w:rsid w:val="00125033"/>
    <w:rsid w:val="00125466"/>
    <w:rsid w:val="00127047"/>
    <w:rsid w:val="00130DC0"/>
    <w:rsid w:val="00132A8E"/>
    <w:rsid w:val="00133F7D"/>
    <w:rsid w:val="00143193"/>
    <w:rsid w:val="0014468C"/>
    <w:rsid w:val="001506FF"/>
    <w:rsid w:val="00151FF2"/>
    <w:rsid w:val="00152D21"/>
    <w:rsid w:val="00153094"/>
    <w:rsid w:val="00155389"/>
    <w:rsid w:val="00166F1F"/>
    <w:rsid w:val="0018254B"/>
    <w:rsid w:val="00182AB9"/>
    <w:rsid w:val="00183D0D"/>
    <w:rsid w:val="00193E9F"/>
    <w:rsid w:val="00194B60"/>
    <w:rsid w:val="0019532C"/>
    <w:rsid w:val="001A0307"/>
    <w:rsid w:val="001A24D1"/>
    <w:rsid w:val="001A4768"/>
    <w:rsid w:val="001B3750"/>
    <w:rsid w:val="001B5710"/>
    <w:rsid w:val="001B6181"/>
    <w:rsid w:val="001B6C9D"/>
    <w:rsid w:val="001B6D70"/>
    <w:rsid w:val="001C55BA"/>
    <w:rsid w:val="001C6CF9"/>
    <w:rsid w:val="001D5F64"/>
    <w:rsid w:val="001D6EAF"/>
    <w:rsid w:val="001E4400"/>
    <w:rsid w:val="00201D65"/>
    <w:rsid w:val="00202669"/>
    <w:rsid w:val="00205A66"/>
    <w:rsid w:val="002117CD"/>
    <w:rsid w:val="00214B39"/>
    <w:rsid w:val="00215F2C"/>
    <w:rsid w:val="00221E09"/>
    <w:rsid w:val="00222E8A"/>
    <w:rsid w:val="00242853"/>
    <w:rsid w:val="0024358C"/>
    <w:rsid w:val="00251E3C"/>
    <w:rsid w:val="002607DF"/>
    <w:rsid w:val="00260AB3"/>
    <w:rsid w:val="002619D0"/>
    <w:rsid w:val="00266265"/>
    <w:rsid w:val="002669A0"/>
    <w:rsid w:val="00271B8C"/>
    <w:rsid w:val="002721A9"/>
    <w:rsid w:val="00275170"/>
    <w:rsid w:val="00281124"/>
    <w:rsid w:val="0028240F"/>
    <w:rsid w:val="00283383"/>
    <w:rsid w:val="00290560"/>
    <w:rsid w:val="00293D75"/>
    <w:rsid w:val="00295CF1"/>
    <w:rsid w:val="002A7277"/>
    <w:rsid w:val="002B5AE6"/>
    <w:rsid w:val="002C36B7"/>
    <w:rsid w:val="002C3CF2"/>
    <w:rsid w:val="002D01B6"/>
    <w:rsid w:val="002D2B08"/>
    <w:rsid w:val="002D2E79"/>
    <w:rsid w:val="002E209D"/>
    <w:rsid w:val="002E35B7"/>
    <w:rsid w:val="002F5F28"/>
    <w:rsid w:val="003065D7"/>
    <w:rsid w:val="00314F06"/>
    <w:rsid w:val="003245FA"/>
    <w:rsid w:val="00325D26"/>
    <w:rsid w:val="00326A37"/>
    <w:rsid w:val="0033749C"/>
    <w:rsid w:val="0034251C"/>
    <w:rsid w:val="00343D21"/>
    <w:rsid w:val="00345125"/>
    <w:rsid w:val="00356FC2"/>
    <w:rsid w:val="00364C41"/>
    <w:rsid w:val="00366675"/>
    <w:rsid w:val="003675AF"/>
    <w:rsid w:val="00372C2B"/>
    <w:rsid w:val="00372CF4"/>
    <w:rsid w:val="003737D1"/>
    <w:rsid w:val="003773B2"/>
    <w:rsid w:val="00383F19"/>
    <w:rsid w:val="00386E2C"/>
    <w:rsid w:val="003870B6"/>
    <w:rsid w:val="00390774"/>
    <w:rsid w:val="00393FB7"/>
    <w:rsid w:val="0039616C"/>
    <w:rsid w:val="00396234"/>
    <w:rsid w:val="003A0C69"/>
    <w:rsid w:val="003A1057"/>
    <w:rsid w:val="003A1EAA"/>
    <w:rsid w:val="003A796D"/>
    <w:rsid w:val="003C7879"/>
    <w:rsid w:val="003D1054"/>
    <w:rsid w:val="003D2355"/>
    <w:rsid w:val="003E6458"/>
    <w:rsid w:val="003E6B4A"/>
    <w:rsid w:val="003E76F7"/>
    <w:rsid w:val="003F3497"/>
    <w:rsid w:val="003F4795"/>
    <w:rsid w:val="003F7322"/>
    <w:rsid w:val="004032B1"/>
    <w:rsid w:val="00406199"/>
    <w:rsid w:val="004130D4"/>
    <w:rsid w:val="0041385A"/>
    <w:rsid w:val="004149D4"/>
    <w:rsid w:val="00415476"/>
    <w:rsid w:val="00420C12"/>
    <w:rsid w:val="0042426A"/>
    <w:rsid w:val="004306B7"/>
    <w:rsid w:val="004327F2"/>
    <w:rsid w:val="00433AE5"/>
    <w:rsid w:val="004430D2"/>
    <w:rsid w:val="0044486C"/>
    <w:rsid w:val="00455417"/>
    <w:rsid w:val="00461457"/>
    <w:rsid w:val="00462822"/>
    <w:rsid w:val="00466FEE"/>
    <w:rsid w:val="00467FB9"/>
    <w:rsid w:val="00473367"/>
    <w:rsid w:val="0047574A"/>
    <w:rsid w:val="00476C06"/>
    <w:rsid w:val="004772C9"/>
    <w:rsid w:val="004A4385"/>
    <w:rsid w:val="004A5C3A"/>
    <w:rsid w:val="004B2419"/>
    <w:rsid w:val="004B56E2"/>
    <w:rsid w:val="004C2DA4"/>
    <w:rsid w:val="004C4363"/>
    <w:rsid w:val="004C5F6D"/>
    <w:rsid w:val="004C5F71"/>
    <w:rsid w:val="004C6045"/>
    <w:rsid w:val="004C671C"/>
    <w:rsid w:val="004C773F"/>
    <w:rsid w:val="004D2AA4"/>
    <w:rsid w:val="004D5B5C"/>
    <w:rsid w:val="004F1788"/>
    <w:rsid w:val="004F2F34"/>
    <w:rsid w:val="00501871"/>
    <w:rsid w:val="00504375"/>
    <w:rsid w:val="005054A7"/>
    <w:rsid w:val="0051065A"/>
    <w:rsid w:val="0051121E"/>
    <w:rsid w:val="0051428B"/>
    <w:rsid w:val="00520474"/>
    <w:rsid w:val="00523898"/>
    <w:rsid w:val="00533B8B"/>
    <w:rsid w:val="005348E6"/>
    <w:rsid w:val="005404F8"/>
    <w:rsid w:val="00541359"/>
    <w:rsid w:val="0055308B"/>
    <w:rsid w:val="005542F7"/>
    <w:rsid w:val="00554769"/>
    <w:rsid w:val="00557280"/>
    <w:rsid w:val="00562F84"/>
    <w:rsid w:val="00580F8A"/>
    <w:rsid w:val="00582410"/>
    <w:rsid w:val="00582C79"/>
    <w:rsid w:val="00587B8C"/>
    <w:rsid w:val="00593939"/>
    <w:rsid w:val="00595F2F"/>
    <w:rsid w:val="005A11C4"/>
    <w:rsid w:val="005A2141"/>
    <w:rsid w:val="005A3895"/>
    <w:rsid w:val="005A51AF"/>
    <w:rsid w:val="005B15A3"/>
    <w:rsid w:val="005B48FC"/>
    <w:rsid w:val="005B5EC3"/>
    <w:rsid w:val="005B63AB"/>
    <w:rsid w:val="005C21FB"/>
    <w:rsid w:val="005C733B"/>
    <w:rsid w:val="005D77B6"/>
    <w:rsid w:val="005E21F4"/>
    <w:rsid w:val="005F15B9"/>
    <w:rsid w:val="005F6746"/>
    <w:rsid w:val="005F7A6D"/>
    <w:rsid w:val="006106DD"/>
    <w:rsid w:val="00610C62"/>
    <w:rsid w:val="00612875"/>
    <w:rsid w:val="006151D9"/>
    <w:rsid w:val="0061661D"/>
    <w:rsid w:val="0061715C"/>
    <w:rsid w:val="00632B61"/>
    <w:rsid w:val="006572F0"/>
    <w:rsid w:val="0066318C"/>
    <w:rsid w:val="0066418C"/>
    <w:rsid w:val="0066443F"/>
    <w:rsid w:val="00683270"/>
    <w:rsid w:val="006843DB"/>
    <w:rsid w:val="00687934"/>
    <w:rsid w:val="006942FE"/>
    <w:rsid w:val="00696DE0"/>
    <w:rsid w:val="00696EF8"/>
    <w:rsid w:val="006A2E33"/>
    <w:rsid w:val="006A2F25"/>
    <w:rsid w:val="006A657C"/>
    <w:rsid w:val="006B01F3"/>
    <w:rsid w:val="006B259E"/>
    <w:rsid w:val="006B3C97"/>
    <w:rsid w:val="006B4851"/>
    <w:rsid w:val="006B513A"/>
    <w:rsid w:val="006B5499"/>
    <w:rsid w:val="006B623D"/>
    <w:rsid w:val="006B7F33"/>
    <w:rsid w:val="006C0A84"/>
    <w:rsid w:val="006C0B6A"/>
    <w:rsid w:val="006D4049"/>
    <w:rsid w:val="006E13B9"/>
    <w:rsid w:val="006E193A"/>
    <w:rsid w:val="006E2237"/>
    <w:rsid w:val="006F76F5"/>
    <w:rsid w:val="00710B76"/>
    <w:rsid w:val="00711616"/>
    <w:rsid w:val="007137ED"/>
    <w:rsid w:val="0071539B"/>
    <w:rsid w:val="00717D5D"/>
    <w:rsid w:val="00720511"/>
    <w:rsid w:val="0072108D"/>
    <w:rsid w:val="0074115F"/>
    <w:rsid w:val="00742E38"/>
    <w:rsid w:val="00756C59"/>
    <w:rsid w:val="00762BEC"/>
    <w:rsid w:val="00764CCD"/>
    <w:rsid w:val="007653FF"/>
    <w:rsid w:val="007720FB"/>
    <w:rsid w:val="0077253B"/>
    <w:rsid w:val="00791320"/>
    <w:rsid w:val="00793CAF"/>
    <w:rsid w:val="007A1705"/>
    <w:rsid w:val="007A5737"/>
    <w:rsid w:val="007B3554"/>
    <w:rsid w:val="007B4BC5"/>
    <w:rsid w:val="007B77DE"/>
    <w:rsid w:val="007C3DC1"/>
    <w:rsid w:val="007C53C0"/>
    <w:rsid w:val="007D05BF"/>
    <w:rsid w:val="007D079A"/>
    <w:rsid w:val="007D0BB8"/>
    <w:rsid w:val="007D1D5B"/>
    <w:rsid w:val="007D5CDB"/>
    <w:rsid w:val="007D7A44"/>
    <w:rsid w:val="007E042B"/>
    <w:rsid w:val="007F0E9F"/>
    <w:rsid w:val="007F14FB"/>
    <w:rsid w:val="007F1D6E"/>
    <w:rsid w:val="007F204D"/>
    <w:rsid w:val="007F3420"/>
    <w:rsid w:val="007F43D5"/>
    <w:rsid w:val="007F45FA"/>
    <w:rsid w:val="007F57F7"/>
    <w:rsid w:val="007F6A7A"/>
    <w:rsid w:val="008023AB"/>
    <w:rsid w:val="0080417E"/>
    <w:rsid w:val="0081719E"/>
    <w:rsid w:val="00817F3B"/>
    <w:rsid w:val="00820848"/>
    <w:rsid w:val="00822DAA"/>
    <w:rsid w:val="008266DA"/>
    <w:rsid w:val="008335B9"/>
    <w:rsid w:val="00841795"/>
    <w:rsid w:val="00845D34"/>
    <w:rsid w:val="00862A5A"/>
    <w:rsid w:val="008639DE"/>
    <w:rsid w:val="00867AC4"/>
    <w:rsid w:val="008818EF"/>
    <w:rsid w:val="0089068D"/>
    <w:rsid w:val="00890C99"/>
    <w:rsid w:val="00896765"/>
    <w:rsid w:val="008B0446"/>
    <w:rsid w:val="008B2F79"/>
    <w:rsid w:val="008B7C63"/>
    <w:rsid w:val="008C2134"/>
    <w:rsid w:val="008C6164"/>
    <w:rsid w:val="008D1DBB"/>
    <w:rsid w:val="008D5539"/>
    <w:rsid w:val="008E4960"/>
    <w:rsid w:val="008E53E8"/>
    <w:rsid w:val="008F0BA9"/>
    <w:rsid w:val="008F161B"/>
    <w:rsid w:val="008F701D"/>
    <w:rsid w:val="009012F6"/>
    <w:rsid w:val="00914985"/>
    <w:rsid w:val="00917AB2"/>
    <w:rsid w:val="009205E0"/>
    <w:rsid w:val="0092079C"/>
    <w:rsid w:val="00920AC3"/>
    <w:rsid w:val="00922F54"/>
    <w:rsid w:val="00926941"/>
    <w:rsid w:val="00927602"/>
    <w:rsid w:val="00927791"/>
    <w:rsid w:val="00930DFE"/>
    <w:rsid w:val="009362D3"/>
    <w:rsid w:val="00956D4F"/>
    <w:rsid w:val="009578FF"/>
    <w:rsid w:val="0096325A"/>
    <w:rsid w:val="0096534B"/>
    <w:rsid w:val="00965BB8"/>
    <w:rsid w:val="009668AB"/>
    <w:rsid w:val="00975F39"/>
    <w:rsid w:val="009800C9"/>
    <w:rsid w:val="00985A46"/>
    <w:rsid w:val="00985E77"/>
    <w:rsid w:val="00992A47"/>
    <w:rsid w:val="009A1471"/>
    <w:rsid w:val="009A295A"/>
    <w:rsid w:val="009A2DC8"/>
    <w:rsid w:val="009A560F"/>
    <w:rsid w:val="009B17C3"/>
    <w:rsid w:val="009B19F2"/>
    <w:rsid w:val="009B279F"/>
    <w:rsid w:val="009B4C03"/>
    <w:rsid w:val="009B78CD"/>
    <w:rsid w:val="009C222F"/>
    <w:rsid w:val="009C379C"/>
    <w:rsid w:val="009C757E"/>
    <w:rsid w:val="009D11C3"/>
    <w:rsid w:val="009D50B9"/>
    <w:rsid w:val="009E45C8"/>
    <w:rsid w:val="009F1E7A"/>
    <w:rsid w:val="009F233C"/>
    <w:rsid w:val="009F5FE1"/>
    <w:rsid w:val="009F72D3"/>
    <w:rsid w:val="00A04B6A"/>
    <w:rsid w:val="00A10FC0"/>
    <w:rsid w:val="00A128D6"/>
    <w:rsid w:val="00A145E2"/>
    <w:rsid w:val="00A16636"/>
    <w:rsid w:val="00A204E4"/>
    <w:rsid w:val="00A259EB"/>
    <w:rsid w:val="00A31D75"/>
    <w:rsid w:val="00A323D7"/>
    <w:rsid w:val="00A34544"/>
    <w:rsid w:val="00A3548D"/>
    <w:rsid w:val="00A3751D"/>
    <w:rsid w:val="00A4356E"/>
    <w:rsid w:val="00A52591"/>
    <w:rsid w:val="00A55002"/>
    <w:rsid w:val="00A63164"/>
    <w:rsid w:val="00A71BAD"/>
    <w:rsid w:val="00A73F1B"/>
    <w:rsid w:val="00A746C3"/>
    <w:rsid w:val="00A76B56"/>
    <w:rsid w:val="00A80F50"/>
    <w:rsid w:val="00A91471"/>
    <w:rsid w:val="00A93C70"/>
    <w:rsid w:val="00A968AE"/>
    <w:rsid w:val="00AA1390"/>
    <w:rsid w:val="00AA4339"/>
    <w:rsid w:val="00AA6A64"/>
    <w:rsid w:val="00AC0575"/>
    <w:rsid w:val="00AC2517"/>
    <w:rsid w:val="00AC419F"/>
    <w:rsid w:val="00AC4EE1"/>
    <w:rsid w:val="00AE2B64"/>
    <w:rsid w:val="00AE348E"/>
    <w:rsid w:val="00AE7075"/>
    <w:rsid w:val="00AF2E8E"/>
    <w:rsid w:val="00B05799"/>
    <w:rsid w:val="00B07C1C"/>
    <w:rsid w:val="00B115BA"/>
    <w:rsid w:val="00B13EF9"/>
    <w:rsid w:val="00B17A3D"/>
    <w:rsid w:val="00B25387"/>
    <w:rsid w:val="00B2625E"/>
    <w:rsid w:val="00B3078D"/>
    <w:rsid w:val="00B46C69"/>
    <w:rsid w:val="00B61540"/>
    <w:rsid w:val="00B6473A"/>
    <w:rsid w:val="00B663FF"/>
    <w:rsid w:val="00B677B7"/>
    <w:rsid w:val="00B72C0D"/>
    <w:rsid w:val="00B76E51"/>
    <w:rsid w:val="00B829F8"/>
    <w:rsid w:val="00B83E35"/>
    <w:rsid w:val="00B85EBE"/>
    <w:rsid w:val="00B904C8"/>
    <w:rsid w:val="00B944D0"/>
    <w:rsid w:val="00B949F8"/>
    <w:rsid w:val="00B96D79"/>
    <w:rsid w:val="00BA513E"/>
    <w:rsid w:val="00BB044E"/>
    <w:rsid w:val="00BB1E9C"/>
    <w:rsid w:val="00BB407A"/>
    <w:rsid w:val="00BC2E20"/>
    <w:rsid w:val="00BC3113"/>
    <w:rsid w:val="00BC6AE9"/>
    <w:rsid w:val="00BC75E6"/>
    <w:rsid w:val="00BD17E0"/>
    <w:rsid w:val="00BD2D94"/>
    <w:rsid w:val="00BE358D"/>
    <w:rsid w:val="00BE44B9"/>
    <w:rsid w:val="00BF2165"/>
    <w:rsid w:val="00BF4345"/>
    <w:rsid w:val="00BF488D"/>
    <w:rsid w:val="00BF7055"/>
    <w:rsid w:val="00C0010E"/>
    <w:rsid w:val="00C0162E"/>
    <w:rsid w:val="00C02A1F"/>
    <w:rsid w:val="00C02E11"/>
    <w:rsid w:val="00C03D24"/>
    <w:rsid w:val="00C04725"/>
    <w:rsid w:val="00C06E1D"/>
    <w:rsid w:val="00C0722B"/>
    <w:rsid w:val="00C07C49"/>
    <w:rsid w:val="00C13DFB"/>
    <w:rsid w:val="00C16369"/>
    <w:rsid w:val="00C232B5"/>
    <w:rsid w:val="00C241E4"/>
    <w:rsid w:val="00C2540D"/>
    <w:rsid w:val="00C270EB"/>
    <w:rsid w:val="00C33106"/>
    <w:rsid w:val="00C4176A"/>
    <w:rsid w:val="00C50136"/>
    <w:rsid w:val="00C53B42"/>
    <w:rsid w:val="00C559DB"/>
    <w:rsid w:val="00C55A7C"/>
    <w:rsid w:val="00C6221F"/>
    <w:rsid w:val="00C6450D"/>
    <w:rsid w:val="00C6459A"/>
    <w:rsid w:val="00C72CC4"/>
    <w:rsid w:val="00C8124F"/>
    <w:rsid w:val="00C87BD6"/>
    <w:rsid w:val="00C9219B"/>
    <w:rsid w:val="00C96010"/>
    <w:rsid w:val="00C9744C"/>
    <w:rsid w:val="00CA5A7B"/>
    <w:rsid w:val="00CB1D01"/>
    <w:rsid w:val="00CC265D"/>
    <w:rsid w:val="00CC4184"/>
    <w:rsid w:val="00CC691B"/>
    <w:rsid w:val="00CD19B6"/>
    <w:rsid w:val="00CD7E53"/>
    <w:rsid w:val="00CE1445"/>
    <w:rsid w:val="00CE1D36"/>
    <w:rsid w:val="00CF02B3"/>
    <w:rsid w:val="00CF3B64"/>
    <w:rsid w:val="00CF55A9"/>
    <w:rsid w:val="00CF6A5C"/>
    <w:rsid w:val="00D04B19"/>
    <w:rsid w:val="00D068E0"/>
    <w:rsid w:val="00D075F0"/>
    <w:rsid w:val="00D17E70"/>
    <w:rsid w:val="00D211F2"/>
    <w:rsid w:val="00D23079"/>
    <w:rsid w:val="00D24F52"/>
    <w:rsid w:val="00D25EBF"/>
    <w:rsid w:val="00D3531E"/>
    <w:rsid w:val="00D353E4"/>
    <w:rsid w:val="00D358CA"/>
    <w:rsid w:val="00D52175"/>
    <w:rsid w:val="00D55305"/>
    <w:rsid w:val="00D57437"/>
    <w:rsid w:val="00D71A15"/>
    <w:rsid w:val="00D71FEF"/>
    <w:rsid w:val="00D77576"/>
    <w:rsid w:val="00D81AAA"/>
    <w:rsid w:val="00D846D4"/>
    <w:rsid w:val="00D919F1"/>
    <w:rsid w:val="00D9691A"/>
    <w:rsid w:val="00D97494"/>
    <w:rsid w:val="00D97A7F"/>
    <w:rsid w:val="00D97E21"/>
    <w:rsid w:val="00DA57D4"/>
    <w:rsid w:val="00DB12B9"/>
    <w:rsid w:val="00DC346C"/>
    <w:rsid w:val="00DC4127"/>
    <w:rsid w:val="00DE264F"/>
    <w:rsid w:val="00DE6708"/>
    <w:rsid w:val="00DE68BE"/>
    <w:rsid w:val="00DE7190"/>
    <w:rsid w:val="00DF464A"/>
    <w:rsid w:val="00E14CBC"/>
    <w:rsid w:val="00E158B5"/>
    <w:rsid w:val="00E17679"/>
    <w:rsid w:val="00E43B5E"/>
    <w:rsid w:val="00E55F90"/>
    <w:rsid w:val="00E62027"/>
    <w:rsid w:val="00E624AC"/>
    <w:rsid w:val="00E66FFA"/>
    <w:rsid w:val="00E70A74"/>
    <w:rsid w:val="00E71385"/>
    <w:rsid w:val="00E856D9"/>
    <w:rsid w:val="00E93191"/>
    <w:rsid w:val="00E966F0"/>
    <w:rsid w:val="00E97BFF"/>
    <w:rsid w:val="00EA04D8"/>
    <w:rsid w:val="00EA55E1"/>
    <w:rsid w:val="00EB0206"/>
    <w:rsid w:val="00EB13B7"/>
    <w:rsid w:val="00EB3BA8"/>
    <w:rsid w:val="00EC4B84"/>
    <w:rsid w:val="00ED1478"/>
    <w:rsid w:val="00ED5D61"/>
    <w:rsid w:val="00ED73D4"/>
    <w:rsid w:val="00EE2FF2"/>
    <w:rsid w:val="00EE67FB"/>
    <w:rsid w:val="00EE7F4A"/>
    <w:rsid w:val="00EF0A8F"/>
    <w:rsid w:val="00EF2BCC"/>
    <w:rsid w:val="00EF6323"/>
    <w:rsid w:val="00F01573"/>
    <w:rsid w:val="00F01846"/>
    <w:rsid w:val="00F07E4B"/>
    <w:rsid w:val="00F1321D"/>
    <w:rsid w:val="00F15AD8"/>
    <w:rsid w:val="00F22814"/>
    <w:rsid w:val="00F34F5E"/>
    <w:rsid w:val="00F41312"/>
    <w:rsid w:val="00F42F0C"/>
    <w:rsid w:val="00F50C4B"/>
    <w:rsid w:val="00F522EC"/>
    <w:rsid w:val="00F60327"/>
    <w:rsid w:val="00F605CC"/>
    <w:rsid w:val="00F63574"/>
    <w:rsid w:val="00F65875"/>
    <w:rsid w:val="00FB2B31"/>
    <w:rsid w:val="00FC6FDA"/>
    <w:rsid w:val="00FD2AFF"/>
    <w:rsid w:val="00FD6483"/>
    <w:rsid w:val="00FD6A63"/>
    <w:rsid w:val="00FD78DE"/>
    <w:rsid w:val="00FF18E8"/>
    <w:rsid w:val="00FF20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18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F"/>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0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879"/>
    <w:rPr>
      <w:rFonts w:ascii="Tahoma" w:eastAsiaTheme="minorEastAsia" w:hAnsi="Tahoma" w:cs="Tahoma"/>
      <w:sz w:val="16"/>
      <w:szCs w:val="16"/>
    </w:rPr>
  </w:style>
  <w:style w:type="paragraph" w:styleId="Encabezado">
    <w:name w:val="header"/>
    <w:basedOn w:val="Normal"/>
    <w:link w:val="EncabezadoCar"/>
    <w:uiPriority w:val="99"/>
    <w:semiHidden/>
    <w:unhideWhenUsed/>
    <w:rsid w:val="00D846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846D4"/>
    <w:rPr>
      <w:rFonts w:eastAsiaTheme="minorEastAsia"/>
    </w:rPr>
  </w:style>
  <w:style w:type="paragraph" w:styleId="Piedepgina">
    <w:name w:val="footer"/>
    <w:basedOn w:val="Normal"/>
    <w:link w:val="PiedepginaCar"/>
    <w:uiPriority w:val="99"/>
    <w:unhideWhenUsed/>
    <w:rsid w:val="00D846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46D4"/>
    <w:rPr>
      <w:rFonts w:eastAsiaTheme="minorEastAsia"/>
    </w:rPr>
  </w:style>
  <w:style w:type="table" w:customStyle="1" w:styleId="Cuadrculaclara-nfasis11">
    <w:name w:val="Cuadrícula clara - Énfasis 11"/>
    <w:basedOn w:val="Tablanormal"/>
    <w:uiPriority w:val="62"/>
    <w:rsid w:val="009A56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4907407407407524E-2"/>
          <c:y val="7.440476190476239E-2"/>
          <c:w val="0.82407407407407895"/>
          <c:h val="0.78769841269842233"/>
        </c:manualLayout>
      </c:layout>
      <c:pie3DChart>
        <c:varyColors val="1"/>
        <c:ser>
          <c:idx val="0"/>
          <c:order val="0"/>
          <c:tx>
            <c:strRef>
              <c:f>Hoja1!$B$1</c:f>
              <c:strCache>
                <c:ptCount val="1"/>
                <c:pt idx="0">
                  <c:v>Ventas</c:v>
                </c:pt>
              </c:strCache>
            </c:strRef>
          </c:tx>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Hoja1!$A$2:$A$5</c:f>
              <c:strCache>
                <c:ptCount val="4"/>
                <c:pt idx="0">
                  <c:v>Familiar</c:v>
                </c:pt>
                <c:pt idx="1">
                  <c:v>Civil</c:v>
                </c:pt>
                <c:pt idx="2">
                  <c:v>Mercantil</c:v>
                </c:pt>
                <c:pt idx="3">
                  <c:v>Orientación y canalización</c:v>
                </c:pt>
              </c:strCache>
            </c:strRef>
          </c:cat>
          <c:val>
            <c:numRef>
              <c:f>Hoja1!$B$2:$B$5</c:f>
              <c:numCache>
                <c:formatCode>General</c:formatCode>
                <c:ptCount val="4"/>
                <c:pt idx="0">
                  <c:v>178</c:v>
                </c:pt>
                <c:pt idx="1">
                  <c:v>293</c:v>
                </c:pt>
                <c:pt idx="2">
                  <c:v>21</c:v>
                </c:pt>
                <c:pt idx="3">
                  <c:v>42</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20</c:v>
                </c:pt>
                <c:pt idx="1">
                  <c:v>1</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28"/>
          <c:w val="0.82407407407410094"/>
          <c:h val="0.78769841269846863"/>
        </c:manualLayout>
      </c:layout>
      <c:pie3DChart>
        <c:varyColors val="1"/>
        <c:ser>
          <c:idx val="0"/>
          <c:order val="0"/>
          <c:tx>
            <c:strRef>
              <c:f>Hoja1!$B$1</c:f>
              <c:strCache>
                <c:ptCount val="1"/>
                <c:pt idx="0">
                  <c:v>Ventas</c:v>
                </c:pt>
              </c:strCache>
            </c:strRef>
          </c:tx>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Solucionado con convenio</c:v>
                </c:pt>
                <c:pt idx="1">
                  <c:v>Solucionados sin convenio</c:v>
                </c:pt>
                <c:pt idx="2">
                  <c:v>En etapa de procedimiento</c:v>
                </c:pt>
              </c:strCache>
            </c:strRef>
          </c:cat>
          <c:val>
            <c:numRef>
              <c:f>Hoja1!$B$2:$B$4</c:f>
              <c:numCache>
                <c:formatCode>General</c:formatCode>
                <c:ptCount val="3"/>
                <c:pt idx="0">
                  <c:v>3</c:v>
                </c:pt>
                <c:pt idx="1">
                  <c:v>2</c:v>
                </c:pt>
                <c:pt idx="2">
                  <c:v>15</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dLbls>
            <c:dLbl>
              <c:idx val="0"/>
              <c:layout>
                <c:manualLayout>
                  <c:x val="-5.8494459025955091E-2"/>
                  <c:y val="-0.15000156230471187"/>
                </c:manualLayout>
              </c:layout>
              <c:tx>
                <c:rich>
                  <a:bodyPr/>
                  <a:lstStyle/>
                  <a:p>
                    <a:r>
                      <a:rPr lang="en-US" sz="1400" b="0"/>
                      <a:t>Civil
46%</a:t>
                    </a:r>
                  </a:p>
                </c:rich>
              </c:tx>
              <c:showCatName val="1"/>
              <c:showPercent val="1"/>
            </c:dLbl>
            <c:dLbl>
              <c:idx val="1"/>
              <c:layout>
                <c:manualLayout>
                  <c:x val="3.7715077282006723E-2"/>
                  <c:y val="-7.3147106611673538E-4"/>
                </c:manualLayout>
              </c:layout>
              <c:tx>
                <c:rich>
                  <a:bodyPr/>
                  <a:lstStyle/>
                  <a:p>
                    <a:r>
                      <a:rPr lang="en-US" sz="1400"/>
                      <a:t>Mercantil
5%</a:t>
                    </a:r>
                  </a:p>
                </c:rich>
              </c:tx>
              <c:showCatName val="1"/>
              <c:showPercent val="1"/>
            </c:dLbl>
            <c:dLbl>
              <c:idx val="2"/>
              <c:layout>
                <c:manualLayout>
                  <c:x val="2.2063374890638671E-2"/>
                  <c:y val="3.0671166104237011E-2"/>
                </c:manualLayout>
              </c:layout>
              <c:tx>
                <c:rich>
                  <a:bodyPr/>
                  <a:lstStyle/>
                  <a:p>
                    <a:r>
                      <a:rPr lang="en-US" sz="1400"/>
                      <a:t>Familiar
49%</a:t>
                    </a:r>
                  </a:p>
                </c:rich>
              </c:tx>
              <c:showCatName val="1"/>
              <c:showPercent val="1"/>
            </c:dLbl>
            <c:showCatName val="1"/>
            <c:showPercent val="1"/>
          </c:dLbls>
          <c:cat>
            <c:strRef>
              <c:f>Hoja1!$A$2:$A$5</c:f>
              <c:strCache>
                <c:ptCount val="3"/>
                <c:pt idx="0">
                  <c:v>Civil</c:v>
                </c:pt>
                <c:pt idx="1">
                  <c:v>Mercantil</c:v>
                </c:pt>
                <c:pt idx="2">
                  <c:v>Familiar</c:v>
                </c:pt>
              </c:strCache>
            </c:strRef>
          </c:cat>
          <c:val>
            <c:numRef>
              <c:f>Hoja1!$B$2:$B$5</c:f>
              <c:numCache>
                <c:formatCode>General</c:formatCode>
                <c:ptCount val="4"/>
                <c:pt idx="0">
                  <c:v>333</c:v>
                </c:pt>
                <c:pt idx="1">
                  <c:v>8</c:v>
                </c:pt>
                <c:pt idx="2">
                  <c:v>238</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0416666666666728"/>
          <c:y val="0.10615079365079365"/>
          <c:w val="0.82407407407408029"/>
          <c:h val="0.787698412698425"/>
        </c:manualLayout>
      </c:layout>
      <c:pie3DChart>
        <c:varyColors val="1"/>
        <c:ser>
          <c:idx val="0"/>
          <c:order val="0"/>
          <c:tx>
            <c:strRef>
              <c:f>Hoja1!$B$1</c:f>
              <c:strCache>
                <c:ptCount val="1"/>
                <c:pt idx="0">
                  <c:v>Columna1</c:v>
                </c:pt>
              </c:strCache>
            </c:strRef>
          </c:tx>
          <c:explosion val="2"/>
          <c:dLbls>
            <c:dLbl>
              <c:idx val="0"/>
              <c:layout>
                <c:manualLayout>
                  <c:x val="-1.9142607174103241E-2"/>
                  <c:y val="-1.9049181352331107E-2"/>
                </c:manualLayout>
              </c:layout>
              <c:tx>
                <c:rich>
                  <a:bodyPr/>
                  <a:lstStyle/>
                  <a:p>
                    <a:r>
                      <a:rPr lang="en-US" sz="1400"/>
                      <a:t>Civil
37%</a:t>
                    </a:r>
                  </a:p>
                </c:rich>
              </c:tx>
              <c:showCatName val="1"/>
              <c:showPercent val="1"/>
            </c:dLbl>
            <c:dLbl>
              <c:idx val="1"/>
              <c:layout>
                <c:manualLayout>
                  <c:x val="2.8455818022747256E-2"/>
                  <c:y val="-8.0096550431196206E-2"/>
                </c:manualLayout>
              </c:layout>
              <c:tx>
                <c:rich>
                  <a:bodyPr/>
                  <a:lstStyle/>
                  <a:p>
                    <a:r>
                      <a:rPr lang="en-US" sz="1400"/>
                      <a:t>Mercantil
2%</a:t>
                    </a:r>
                  </a:p>
                </c:rich>
              </c:tx>
              <c:showCatName val="1"/>
              <c:showPercent val="1"/>
            </c:dLbl>
            <c:dLbl>
              <c:idx val="2"/>
              <c:layout>
                <c:manualLayout>
                  <c:x val="4.5211614173228533E-2"/>
                  <c:y val="-5.0431196100487437E-3"/>
                </c:manualLayout>
              </c:layout>
              <c:tx>
                <c:rich>
                  <a:bodyPr/>
                  <a:lstStyle/>
                  <a:p>
                    <a:r>
                      <a:rPr lang="en-US" sz="1400"/>
                      <a:t>Familiar
61%</a:t>
                    </a:r>
                  </a:p>
                </c:rich>
              </c:tx>
              <c:showCatName val="1"/>
              <c:showPercent val="1"/>
            </c:dLbl>
            <c:showCatName val="1"/>
            <c:showPercent val="1"/>
          </c:dLbls>
          <c:cat>
            <c:strRef>
              <c:f>Hoja1!$A$2:$A$5</c:f>
              <c:strCache>
                <c:ptCount val="3"/>
                <c:pt idx="0">
                  <c:v>Civil</c:v>
                </c:pt>
                <c:pt idx="1">
                  <c:v>Mercantil</c:v>
                </c:pt>
                <c:pt idx="2">
                  <c:v>Familiar</c:v>
                </c:pt>
              </c:strCache>
            </c:strRef>
          </c:cat>
          <c:val>
            <c:numRef>
              <c:f>Hoja1!$B$2:$B$5</c:f>
              <c:numCache>
                <c:formatCode>#,##0</c:formatCode>
                <c:ptCount val="4"/>
                <c:pt idx="0" formatCode="#,##0.00">
                  <c:v>10487678</c:v>
                </c:pt>
                <c:pt idx="1">
                  <c:v>247587</c:v>
                </c:pt>
                <c:pt idx="2" formatCode="#,##0.00">
                  <c:v>1286957</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70"/>
      <c:perspective val="30"/>
    </c:view3D>
    <c:plotArea>
      <c:layout>
        <c:manualLayout>
          <c:layoutTarget val="inner"/>
          <c:xMode val="edge"/>
          <c:yMode val="edge"/>
          <c:x val="0.1052519737638036"/>
          <c:y val="0.13673286122253586"/>
          <c:w val="0.81621615935281056"/>
          <c:h val="0.76388928656648214"/>
        </c:manualLayout>
      </c:layout>
      <c:pie3DChart>
        <c:varyColors val="1"/>
        <c:ser>
          <c:idx val="0"/>
          <c:order val="0"/>
          <c:tx>
            <c:strRef>
              <c:f>Hoja1!$B$1</c:f>
              <c:strCache>
                <c:ptCount val="1"/>
                <c:pt idx="0">
                  <c:v>Ventas</c:v>
                </c:pt>
              </c:strCache>
            </c:strRef>
          </c:tx>
          <c:explosion val="6"/>
          <c:dLbls>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Concluidos por Convenio</c:v>
                </c:pt>
                <c:pt idx="1">
                  <c:v>Concluidos Exitosamente</c:v>
                </c:pt>
              </c:strCache>
            </c:strRef>
          </c:cat>
          <c:val>
            <c:numRef>
              <c:f>Hoja1!$B$2:$B$3</c:f>
              <c:numCache>
                <c:formatCode>General</c:formatCode>
                <c:ptCount val="2"/>
                <c:pt idx="0">
                  <c:v>91</c:v>
                </c:pt>
                <c:pt idx="1">
                  <c:v>72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1258092738407764E-2"/>
          <c:y val="0.13700972672533579"/>
          <c:w val="0.78611126550359411"/>
          <c:h val="0.7573530955689366"/>
        </c:manualLayout>
      </c:layout>
      <c:pie3DChart>
        <c:varyColors val="1"/>
        <c:ser>
          <c:idx val="0"/>
          <c:order val="0"/>
          <c:tx>
            <c:strRef>
              <c:f>Hoja1!$B$1</c:f>
              <c:strCache>
                <c:ptCount val="1"/>
                <c:pt idx="0">
                  <c:v>Columna1</c:v>
                </c:pt>
              </c:strCache>
            </c:strRef>
          </c:tx>
          <c:explosion val="11"/>
          <c:dPt>
            <c:idx val="0"/>
            <c:explosion val="0"/>
          </c:dPt>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Hoja1!$A$2:$A$4</c:f>
              <c:strCache>
                <c:ptCount val="3"/>
                <c:pt idx="0">
                  <c:v>Familiar</c:v>
                </c:pt>
                <c:pt idx="1">
                  <c:v>Civil </c:v>
                </c:pt>
                <c:pt idx="2">
                  <c:v>Mercantil</c:v>
                </c:pt>
              </c:strCache>
            </c:strRef>
          </c:cat>
          <c:val>
            <c:numRef>
              <c:f>Hoja1!$B$2:$B$4</c:f>
              <c:numCache>
                <c:formatCode>General</c:formatCode>
                <c:ptCount val="3"/>
                <c:pt idx="0">
                  <c:v>178</c:v>
                </c:pt>
                <c:pt idx="1">
                  <c:v>293</c:v>
                </c:pt>
                <c:pt idx="2">
                  <c:v>21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60"/>
      <c:rotY val="50"/>
      <c:perspective val="30"/>
    </c:view3D>
    <c:plotArea>
      <c:layout>
        <c:manualLayout>
          <c:layoutTarget val="inner"/>
          <c:xMode val="edge"/>
          <c:yMode val="edge"/>
          <c:x val="6.7657276985772313E-2"/>
          <c:y val="0.11644453362173919"/>
          <c:w val="0.80021726285353434"/>
          <c:h val="0.80050522263635282"/>
        </c:manualLayout>
      </c:layout>
      <c:pie3DChart>
        <c:varyColors val="1"/>
        <c:ser>
          <c:idx val="0"/>
          <c:order val="0"/>
          <c:tx>
            <c:strRef>
              <c:f>Hoja1!$B$1</c:f>
              <c:strCache>
                <c:ptCount val="1"/>
                <c:pt idx="0">
                  <c:v>Ventas</c:v>
                </c:pt>
              </c:strCache>
            </c:strRef>
          </c:tx>
          <c:explosion val="14"/>
          <c:dLbls>
            <c:dLbl>
              <c:idx val="2"/>
              <c:layout>
                <c:manualLayout>
                  <c:x val="0.16154427187501921"/>
                  <c:y val="0.18278165332681759"/>
                </c:manualLayout>
              </c:layout>
              <c:showCatName val="1"/>
              <c:showPercent val="1"/>
            </c:dLbl>
            <c:dLbl>
              <c:idx val="3"/>
              <c:layout>
                <c:manualLayout>
                  <c:x val="-8.7988612989882045E-2"/>
                  <c:y val="7.4447623857726117E-2"/>
                </c:manualLayout>
              </c:layout>
              <c:showCatName val="1"/>
              <c:showPercent val="1"/>
            </c:dLbl>
            <c:txPr>
              <a:bodyPr/>
              <a:lstStyle/>
              <a:p>
                <a:pPr>
                  <a:defRPr lang="es-ES" sz="1100">
                    <a:latin typeface="Arial" pitchFamily="34" charset="0"/>
                    <a:cs typeface="Arial" pitchFamily="34" charset="0"/>
                  </a:defRPr>
                </a:pPr>
                <a:endParaRPr lang="es-MX"/>
              </a:p>
            </c:txPr>
            <c:showCatName val="1"/>
            <c:showPercent val="1"/>
          </c:dLbls>
          <c:cat>
            <c:strRef>
              <c:f>Hoja1!$A$2:$A$6</c:f>
              <c:strCache>
                <c:ptCount val="5"/>
                <c:pt idx="0">
                  <c:v>Visitas y convivencia</c:v>
                </c:pt>
                <c:pt idx="1">
                  <c:v>Guarda y custodia</c:v>
                </c:pt>
                <c:pt idx="2">
                  <c:v>Pensión alimenticia de menores</c:v>
                </c:pt>
                <c:pt idx="3">
                  <c:v>Controversias del orden Familiar</c:v>
                </c:pt>
                <c:pt idx="4">
                  <c:v>Otros asuntos</c:v>
                </c:pt>
              </c:strCache>
            </c:strRef>
          </c:cat>
          <c:val>
            <c:numRef>
              <c:f>Hoja1!$B$2:$B$6</c:f>
              <c:numCache>
                <c:formatCode>General</c:formatCode>
                <c:ptCount val="5"/>
                <c:pt idx="0">
                  <c:v>57</c:v>
                </c:pt>
                <c:pt idx="1">
                  <c:v>24</c:v>
                </c:pt>
                <c:pt idx="2">
                  <c:v>94</c:v>
                </c:pt>
                <c:pt idx="3">
                  <c:v>2</c:v>
                </c:pt>
                <c:pt idx="4">
                  <c:v>1</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60"/>
      <c:perspective val="30"/>
    </c:view3D>
    <c:plotArea>
      <c:layout>
        <c:manualLayout>
          <c:layoutTarget val="inner"/>
          <c:xMode val="edge"/>
          <c:yMode val="edge"/>
          <c:x val="0.11805555555555559"/>
          <c:y val="0.17261904761904764"/>
          <c:w val="0.82407407407409794"/>
          <c:h val="0.78769841269846186"/>
        </c:manualLayout>
      </c:layout>
      <c:pie3DChart>
        <c:varyColors val="1"/>
        <c:ser>
          <c:idx val="0"/>
          <c:order val="0"/>
          <c:tx>
            <c:strRef>
              <c:f>Hoja1!$B$1</c:f>
              <c:strCache>
                <c:ptCount val="1"/>
                <c:pt idx="0">
                  <c:v>Ventas</c:v>
                </c:pt>
              </c:strCache>
            </c:strRef>
          </c:tx>
          <c:explosion val="9"/>
          <c:dPt>
            <c:idx val="1"/>
            <c:spPr>
              <a:ln>
                <a:noFill/>
              </a:ln>
            </c:spPr>
          </c:dPt>
          <c:dLbls>
            <c:dLbl>
              <c:idx val="0"/>
              <c:spPr/>
              <c:txPr>
                <a:bodyPr/>
                <a:lstStyle/>
                <a:p>
                  <a:pPr>
                    <a:defRPr lang="en-US" sz="1100">
                      <a:latin typeface="Arial" pitchFamily="34" charset="0"/>
                      <a:cs typeface="Arial" pitchFamily="34" charset="0"/>
                    </a:defRPr>
                  </a:pPr>
                  <a:endParaRPr lang="es-MX"/>
                </a:p>
              </c:txPr>
            </c:dLbl>
            <c:dLbl>
              <c:idx val="1"/>
              <c:spPr/>
              <c:txPr>
                <a:bodyPr/>
                <a:lstStyle/>
                <a:p>
                  <a:pPr>
                    <a:defRPr lang="en-US" sz="1100">
                      <a:latin typeface="Arial" pitchFamily="34" charset="0"/>
                      <a:cs typeface="Arial" pitchFamily="34" charset="0"/>
                    </a:defRPr>
                  </a:pPr>
                  <a:endParaRPr lang="es-MX"/>
                </a:p>
              </c:txPr>
            </c:dLbl>
            <c:txPr>
              <a:bodyPr/>
              <a:lstStyle/>
              <a:p>
                <a:pPr>
                  <a:defRPr lang="en-US">
                    <a:latin typeface="Arial" pitchFamily="34" charset="0"/>
                    <a:cs typeface="Arial" pitchFamily="34" charset="0"/>
                  </a:defRPr>
                </a:pPr>
                <a:endParaRPr lang="es-MX"/>
              </a:p>
            </c:txPr>
            <c:showCatName val="1"/>
            <c:showPercent val="1"/>
            <c:showLeaderLines val="1"/>
          </c:dLbls>
          <c:cat>
            <c:strRef>
              <c:f>Hoja1!$A$2:$A$4</c:f>
              <c:strCache>
                <c:ptCount val="2"/>
                <c:pt idx="0">
                  <c:v>Mediación y conciliación aceptadas</c:v>
                </c:pt>
                <c:pt idx="1">
                  <c:v>Mediación y conciliación no aceptadas</c:v>
                </c:pt>
              </c:strCache>
            </c:strRef>
          </c:cat>
          <c:val>
            <c:numRef>
              <c:f>Hoja1!$B$2:$B$4</c:f>
              <c:numCache>
                <c:formatCode>General</c:formatCode>
                <c:ptCount val="3"/>
                <c:pt idx="0">
                  <c:v>169</c:v>
                </c:pt>
                <c:pt idx="1">
                  <c:v>9</c:v>
                </c:pt>
                <c:pt idx="2">
                  <c:v>0</c:v>
                </c:pt>
              </c:numCache>
            </c:numRef>
          </c:val>
        </c:ser>
        <c:dLbls>
          <c:showCatName val="1"/>
          <c:showPercent val="1"/>
        </c:dLbls>
      </c:pie3DChart>
      <c:spPr>
        <a:noFill/>
        <a:ln>
          <a:noFill/>
          <a:prstDash val="solid"/>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25"/>
          <c:y val="0.17361117153173541"/>
          <c:w val="0.82407407407410094"/>
          <c:h val="0.78769841269846863"/>
        </c:manualLayout>
      </c:layout>
      <c:pie3DChart>
        <c:varyColors val="1"/>
        <c:ser>
          <c:idx val="0"/>
          <c:order val="0"/>
          <c:tx>
            <c:strRef>
              <c:f>Hoja1!$B$1</c:f>
              <c:strCache>
                <c:ptCount val="1"/>
                <c:pt idx="0">
                  <c:v>Ventas</c:v>
                </c:pt>
              </c:strCache>
            </c:strRef>
          </c:tx>
          <c:explosion val="3"/>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3"/>
                <c:pt idx="0">
                  <c:v>Concluidos por Convenio</c:v>
                </c:pt>
                <c:pt idx="1">
                  <c:v>Concluidos Exitosamente</c:v>
                </c:pt>
                <c:pt idx="2">
                  <c:v>En etapa de procedimiento</c:v>
                </c:pt>
              </c:strCache>
            </c:strRef>
          </c:cat>
          <c:val>
            <c:numRef>
              <c:f>Hoja1!$B$2:$B$4</c:f>
              <c:numCache>
                <c:formatCode>General</c:formatCode>
                <c:ptCount val="3"/>
                <c:pt idx="0">
                  <c:v>62</c:v>
                </c:pt>
                <c:pt idx="1">
                  <c:v>8</c:v>
                </c:pt>
                <c:pt idx="2">
                  <c:v>99</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677"/>
          <c:h val="0.75526594310846284"/>
        </c:manualLayout>
      </c:layout>
      <c:pie3DChart>
        <c:varyColors val="1"/>
        <c:ser>
          <c:idx val="0"/>
          <c:order val="0"/>
          <c:tx>
            <c:strRef>
              <c:f>Hoja1!$B$1</c:f>
              <c:strCache>
                <c:ptCount val="1"/>
                <c:pt idx="0">
                  <c:v>Ventas</c:v>
                </c:pt>
              </c:strCache>
            </c:strRef>
          </c:tx>
          <c:explosion val="8"/>
          <c:dLbls>
            <c:dLbl>
              <c:idx val="2"/>
              <c:layout>
                <c:manualLayout>
                  <c:x val="0.27213591295834078"/>
                  <c:y val="-0.28378378378378388"/>
                </c:manualLayout>
              </c:layout>
              <c:showCatName val="1"/>
              <c:showPercent val="1"/>
            </c:dLbl>
            <c:dLbl>
              <c:idx val="3"/>
              <c:layout>
                <c:manualLayout>
                  <c:x val="-0.1320284439051074"/>
                  <c:y val="7.0692204015039534E-2"/>
                </c:manualLayout>
              </c:layout>
              <c:showCatName val="1"/>
              <c:showPercent val="1"/>
            </c:dLbl>
            <c:dLbl>
              <c:idx val="4"/>
              <c:layout>
                <c:manualLayout>
                  <c:x val="0.33892080477681386"/>
                  <c:y val="-8.0266723416329722E-3"/>
                </c:manualLayout>
              </c:layout>
              <c:showCatName val="1"/>
              <c:showPercent val="1"/>
            </c:dLbl>
            <c:dLbl>
              <c:idx val="5"/>
              <c:layout>
                <c:manualLayout>
                  <c:x val="-2.7932760594067737E-3"/>
                  <c:y val="-0.13689919841101011"/>
                </c:manualLayout>
              </c:layout>
              <c:showCatName val="1"/>
              <c:showPercent val="1"/>
            </c:dLbl>
            <c:dLbl>
              <c:idx val="7"/>
              <c:layout>
                <c:manualLayout>
                  <c:x val="-4.4535580162812401E-2"/>
                  <c:y val="0.10256593601475492"/>
                </c:manualLayout>
              </c:layout>
              <c:showCatName val="1"/>
              <c:showPercent val="1"/>
            </c:dLbl>
            <c:dLbl>
              <c:idx val="8"/>
              <c:layout>
                <c:manualLayout>
                  <c:x val="2.5794411425367012E-3"/>
                  <c:y val="-0.1342226005533092"/>
                </c:manualLayout>
              </c:layout>
              <c:showCatName val="1"/>
              <c:showPercent val="1"/>
            </c:dLbl>
            <c:dLbl>
              <c:idx val="9"/>
              <c:layout>
                <c:manualLayout>
                  <c:x val="-0.10974756364109632"/>
                  <c:y val="7.4026029395422174E-2"/>
                </c:manualLayout>
              </c:layout>
              <c:showCatName val="1"/>
              <c:showPercent val="1"/>
            </c:dLbl>
            <c:dLbl>
              <c:idx val="10"/>
              <c:layout>
                <c:manualLayout>
                  <c:x val="-1.991100937251505E-2"/>
                  <c:y val="0.10011066184294531"/>
                </c:manualLayout>
              </c:layout>
              <c:showCatName val="1"/>
              <c:showPercent val="1"/>
            </c:dLbl>
            <c:dLbl>
              <c:idx val="12"/>
              <c:layout>
                <c:manualLayout>
                  <c:x val="-0.14242710969914341"/>
                  <c:y val="0.56030122305029395"/>
                </c:manualLayout>
              </c:layout>
              <c:showCatName val="1"/>
              <c:showPercent val="1"/>
            </c:dLbl>
            <c:dLbl>
              <c:idx val="13"/>
              <c:layout>
                <c:manualLayout>
                  <c:x val="9.7639633924919197E-3"/>
                  <c:y val="-5.2533730580974693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Hoja1!$A$2:$A$16</c:f>
              <c:strCache>
                <c:ptCount val="15"/>
                <c:pt idx="0">
                  <c:v>Contrato de Mutuo</c:v>
                </c:pt>
                <c:pt idx="1">
                  <c:v>Incumplimiento de un contrato</c:v>
                </c:pt>
                <c:pt idx="2">
                  <c:v>Arrendamiento</c:v>
                </c:pt>
                <c:pt idx="3">
                  <c:v>Propiedad</c:v>
                </c:pt>
                <c:pt idx="4">
                  <c:v>Co-propiedad</c:v>
                </c:pt>
                <c:pt idx="5">
                  <c:v>Comodato</c:v>
                </c:pt>
                <c:pt idx="6">
                  <c:v>Compraventa</c:v>
                </c:pt>
                <c:pt idx="7">
                  <c:v>Garantia Hipotecaria</c:v>
                </c:pt>
                <c:pt idx="8">
                  <c:v>Garantia de servicio</c:v>
                </c:pt>
                <c:pt idx="9">
                  <c:v>Reparacion de Daños</c:v>
                </c:pt>
                <c:pt idx="11">
                  <c:v>Pago de Pesos</c:v>
                </c:pt>
                <c:pt idx="12">
                  <c:v>Conflictos vecinales</c:v>
                </c:pt>
                <c:pt idx="13">
                  <c:v>Posesión</c:v>
                </c:pt>
                <c:pt idx="14">
                  <c:v>Otros</c:v>
                </c:pt>
              </c:strCache>
            </c:strRef>
          </c:cat>
          <c:val>
            <c:numRef>
              <c:f>Hoja1!$B$2:$B$16</c:f>
              <c:numCache>
                <c:formatCode>General</c:formatCode>
                <c:ptCount val="15"/>
                <c:pt idx="0">
                  <c:v>21</c:v>
                </c:pt>
                <c:pt idx="1">
                  <c:v>93</c:v>
                </c:pt>
                <c:pt idx="2">
                  <c:v>68</c:v>
                </c:pt>
                <c:pt idx="3">
                  <c:v>14</c:v>
                </c:pt>
                <c:pt idx="4">
                  <c:v>1</c:v>
                </c:pt>
                <c:pt idx="5">
                  <c:v>11</c:v>
                </c:pt>
                <c:pt idx="6">
                  <c:v>36</c:v>
                </c:pt>
                <c:pt idx="7">
                  <c:v>1</c:v>
                </c:pt>
                <c:pt idx="8">
                  <c:v>5</c:v>
                </c:pt>
                <c:pt idx="9">
                  <c:v>15</c:v>
                </c:pt>
                <c:pt idx="11">
                  <c:v>5</c:v>
                </c:pt>
                <c:pt idx="12">
                  <c:v>5</c:v>
                </c:pt>
                <c:pt idx="13">
                  <c:v>3</c:v>
                </c:pt>
                <c:pt idx="14">
                  <c:v>15</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2"/>
                <c:pt idx="0">
                  <c:v>Mediación o conciliación aceptadas</c:v>
                </c:pt>
                <c:pt idx="1">
                  <c:v>Mediación o conciliación no aceptadas</c:v>
                </c:pt>
              </c:strCache>
            </c:strRef>
          </c:cat>
          <c:val>
            <c:numRef>
              <c:f>Hoja1!$B$2:$B$4</c:f>
              <c:numCache>
                <c:formatCode>General</c:formatCode>
                <c:ptCount val="3"/>
                <c:pt idx="0">
                  <c:v>280</c:v>
                </c:pt>
                <c:pt idx="1">
                  <c:v>13</c:v>
                </c:pt>
                <c:pt idx="2">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23"/>
          <c:w val="0.82407407407410072"/>
          <c:h val="0.78769841269846796"/>
        </c:manualLayout>
      </c:layout>
      <c:pie3DChart>
        <c:varyColors val="1"/>
        <c:ser>
          <c:idx val="0"/>
          <c:order val="0"/>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Hoja1!$A$1:$A$3</c:f>
              <c:strCache>
                <c:ptCount val="3"/>
                <c:pt idx="0">
                  <c:v>Concluidos con Convenio</c:v>
                </c:pt>
                <c:pt idx="1">
                  <c:v>Concluidos exitosamente</c:v>
                </c:pt>
                <c:pt idx="2">
                  <c:v>En etapa de procedimiento</c:v>
                </c:pt>
              </c:strCache>
            </c:strRef>
          </c:cat>
          <c:val>
            <c:numRef>
              <c:f>Hoja1!$B$1:$B$3</c:f>
              <c:numCache>
                <c:formatCode>General</c:formatCode>
                <c:ptCount val="3"/>
                <c:pt idx="0">
                  <c:v>26</c:v>
                </c:pt>
                <c:pt idx="1">
                  <c:v>62</c:v>
                </c:pt>
                <c:pt idx="2">
                  <c:v>192</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699"/>
          <c:h val="0.75526594310846284"/>
        </c:manualLayout>
      </c:layout>
      <c:pie3DChart>
        <c:varyColors val="1"/>
        <c:ser>
          <c:idx val="0"/>
          <c:order val="0"/>
          <c:tx>
            <c:strRef>
              <c:f>Hoja1!$B$1</c:f>
              <c:strCache>
                <c:ptCount val="1"/>
                <c:pt idx="0">
                  <c:v>Ventas</c:v>
                </c:pt>
              </c:strCache>
            </c:strRef>
          </c:tx>
          <c:explosion val="8"/>
          <c:dLbls>
            <c:dLbl>
              <c:idx val="0"/>
              <c:layout>
                <c:manualLayout>
                  <c:x val="0.12992944183203095"/>
                  <c:y val="3.0526211250620699E-2"/>
                </c:manualLayout>
              </c:layout>
              <c:showCatName val="1"/>
              <c:showPercent val="1"/>
            </c:dLbl>
            <c:dLbl>
              <c:idx val="2"/>
              <c:layout>
                <c:manualLayout>
                  <c:x val="8.1297534830913079E-2"/>
                  <c:y val="-8.1185500461091006E-2"/>
                </c:manualLayout>
              </c:layout>
              <c:showCatName val="1"/>
              <c:showPercent val="1"/>
            </c:dLbl>
            <c:dLbl>
              <c:idx val="3"/>
              <c:layout>
                <c:manualLayout>
                  <c:x val="-0.1320284439051074"/>
                  <c:y val="7.0692204015039534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Hoja1!$A$2:$A$4</c:f>
              <c:strCache>
                <c:ptCount val="3"/>
                <c:pt idx="0">
                  <c:v>Relativos al incumplimiento de un contrato</c:v>
                </c:pt>
                <c:pt idx="1">
                  <c:v>Titulos de Credito</c:v>
                </c:pt>
                <c:pt idx="2">
                  <c:v>otros asuntos</c:v>
                </c:pt>
              </c:strCache>
            </c:strRef>
          </c:cat>
          <c:val>
            <c:numRef>
              <c:f>Hoja1!$B$2:$B$4</c:f>
              <c:numCache>
                <c:formatCode>General</c:formatCode>
                <c:ptCount val="3"/>
                <c:pt idx="0">
                  <c:v>0</c:v>
                </c:pt>
                <c:pt idx="1">
                  <c:v>20</c:v>
                </c:pt>
                <c:pt idx="2">
                  <c:v>1</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3338-B279-4C1D-AC50-81D076E3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margarita.uribe</cp:lastModifiedBy>
  <cp:revision>3</cp:revision>
  <cp:lastPrinted>2016-04-07T19:11:00Z</cp:lastPrinted>
  <dcterms:created xsi:type="dcterms:W3CDTF">2016-04-07T19:11:00Z</dcterms:created>
  <dcterms:modified xsi:type="dcterms:W3CDTF">2016-04-07T19:11:00Z</dcterms:modified>
</cp:coreProperties>
</file>