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AB07E1">
        <w:rPr>
          <w:rFonts w:ascii="Arial" w:hAnsi="Arial" w:cs="Arial"/>
          <w:b/>
          <w:sz w:val="24"/>
          <w:szCs w:val="24"/>
          <w:lang w:val="es-ES_tradnl"/>
        </w:rPr>
        <w:t xml:space="preserve"> TRIMESTRAL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645EF1" w:rsidRDefault="00645EF1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5D10E4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ENERO A 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MARZO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>7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645EF1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645EF1">
        <w:rPr>
          <w:rFonts w:ascii="Arial" w:hAnsi="Arial" w:cs="Arial"/>
          <w:b/>
          <w:sz w:val="24"/>
          <w:szCs w:val="24"/>
          <w:lang w:val="es-ES_tradnl"/>
        </w:rPr>
        <w:t xml:space="preserve">enero a </w:t>
      </w:r>
      <w:r w:rsidR="00BF0D0C" w:rsidRPr="00645EF1">
        <w:rPr>
          <w:rFonts w:ascii="Arial" w:hAnsi="Arial" w:cs="Arial"/>
          <w:b/>
          <w:sz w:val="24"/>
          <w:szCs w:val="24"/>
          <w:lang w:val="es-ES_tradnl"/>
        </w:rPr>
        <w:t>marzo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E509A6">
        <w:rPr>
          <w:rFonts w:ascii="Arial" w:hAnsi="Arial" w:cs="Arial"/>
          <w:sz w:val="24"/>
          <w:szCs w:val="24"/>
          <w:lang w:val="es-ES_tradnl"/>
        </w:rPr>
        <w:t>7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712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388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712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652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232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388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32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9F0272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232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9F0272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388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9F0272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9F0272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652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232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9F027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9F027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59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9F027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9F027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2429CB" w:rsidRPr="00D31FEC" w:rsidTr="00FA2919">
        <w:tc>
          <w:tcPr>
            <w:tcW w:w="6662" w:type="dxa"/>
          </w:tcPr>
          <w:p w:rsidR="002429CB" w:rsidRDefault="002429CB" w:rsidP="009F0272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9F0272">
              <w:rPr>
                <w:sz w:val="24"/>
                <w:szCs w:val="24"/>
                <w:lang w:val="es-ES_tradnl"/>
              </w:rPr>
              <w:t>Solicita firma para tramitar el pasaporte mexicano, solicita permiso del padre para sacar el pasaporte.</w:t>
            </w:r>
          </w:p>
        </w:tc>
        <w:tc>
          <w:tcPr>
            <w:tcW w:w="2410" w:type="dxa"/>
          </w:tcPr>
          <w:p w:rsidR="002429CB" w:rsidRDefault="009F027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9F0272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232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5C5DFC">
        <w:rPr>
          <w:rFonts w:ascii="Arial" w:hAnsi="Arial" w:cs="Arial"/>
          <w:b/>
          <w:sz w:val="24"/>
          <w:szCs w:val="24"/>
          <w:lang w:val="es-ES_tradnl"/>
        </w:rPr>
        <w:t>232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5DFC">
        <w:rPr>
          <w:rFonts w:ascii="Arial" w:hAnsi="Arial" w:cs="Arial"/>
          <w:b/>
          <w:sz w:val="24"/>
          <w:szCs w:val="24"/>
          <w:lang w:val="es-ES_tradnl"/>
        </w:rPr>
        <w:t>220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C5DFC">
        <w:rPr>
          <w:rFonts w:ascii="Arial" w:hAnsi="Arial" w:cs="Arial"/>
          <w:b/>
          <w:sz w:val="24"/>
          <w:szCs w:val="24"/>
          <w:lang w:val="es-ES_tradnl"/>
        </w:rPr>
        <w:t>1</w:t>
      </w:r>
      <w:r w:rsidR="00835C35">
        <w:rPr>
          <w:rFonts w:ascii="Arial" w:hAnsi="Arial" w:cs="Arial"/>
          <w:b/>
          <w:sz w:val="24"/>
          <w:szCs w:val="24"/>
          <w:lang w:val="es-ES_tradnl"/>
        </w:rPr>
        <w:t>2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5C5DFC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220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5C5DFC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835C35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5C5DFC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232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9F725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9F725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A2601D">
        <w:rPr>
          <w:rFonts w:ascii="Arial" w:hAnsi="Arial" w:cs="Arial"/>
          <w:sz w:val="24"/>
          <w:szCs w:val="24"/>
          <w:lang w:val="es-ES_tradnl"/>
        </w:rPr>
        <w:t>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5C5DFC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5C5DFC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5C5DFC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186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9F725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9F7250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A76B56" w:rsidP="007318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A2601D" w:rsidRPr="00822F86" w:rsidRDefault="00A2601D" w:rsidP="007318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5C5DFC">
        <w:rPr>
          <w:rFonts w:ascii="Arial" w:hAnsi="Arial" w:cs="Arial"/>
          <w:b/>
          <w:sz w:val="24"/>
          <w:szCs w:val="24"/>
          <w:lang w:val="es-ES_tradnl"/>
        </w:rPr>
        <w:t>388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112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5C5DF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5C5DFC">
              <w:rPr>
                <w:sz w:val="24"/>
                <w:szCs w:val="24"/>
                <w:lang w:val="es-ES_tradnl"/>
              </w:rPr>
              <w:t>el integrante de una sociedad  solicito que el presidente de la misma rinda cuentas respecto a la venta de un inmueble propiedad de la sociedad, la solicitante pide reparación del da</w:t>
            </w:r>
            <w:r w:rsidR="005C5DFC">
              <w:rPr>
                <w:sz w:val="24"/>
                <w:szCs w:val="24"/>
                <w:lang w:val="es-MX"/>
              </w:rPr>
              <w:t xml:space="preserve">ño moral causado por publicaciones en redes sociales que afectan su integridad y por esa razón perdió su empleo, </w:t>
            </w:r>
            <w:r w:rsidR="005C5DFC" w:rsidRPr="007F50D5">
              <w:rPr>
                <w:rFonts w:ascii="Arial" w:hAnsi="Arial" w:cs="Arial"/>
                <w:sz w:val="20"/>
                <w:szCs w:val="20"/>
                <w:lang w:val="es-ES_tradnl"/>
              </w:rPr>
              <w:t>La solicitante pide que comodatario le pague adeudo por consumo de agua potable, El solicitante pide devolución del costo de un radiador usado que resultó dañado</w:t>
            </w:r>
            <w:r w:rsidR="005C5DFC" w:rsidRPr="007F50D5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, </w:t>
            </w:r>
            <w:r w:rsidR="005C5DFC" w:rsidRPr="007F50D5">
              <w:rPr>
                <w:rFonts w:ascii="Arial" w:hAnsi="Arial" w:cs="Arial"/>
                <w:sz w:val="20"/>
                <w:szCs w:val="20"/>
                <w:lang w:val="es-ES_tradnl"/>
              </w:rPr>
              <w:t>acuerdo para habitar una casa habitación que se encuentra intestada</w:t>
            </w:r>
            <w:r w:rsidR="005C5D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5C5DFC">
              <w:rPr>
                <w:sz w:val="24"/>
                <w:szCs w:val="24"/>
                <w:lang w:val="es-ES_tradnl"/>
              </w:rPr>
              <w:t>accidente causado dentro de un negocio ocasionando lesiones.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C5DF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5C5DFC" w:rsidP="005C5DFC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388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079811" cy="2483892"/>
            <wp:effectExtent l="19050" t="0" r="25589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BB0063" w:rsidRDefault="00BB0063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7873">
        <w:rPr>
          <w:rFonts w:ascii="Arial" w:hAnsi="Arial" w:cs="Arial"/>
          <w:b/>
          <w:sz w:val="24"/>
          <w:szCs w:val="24"/>
          <w:lang w:val="es-ES_tradnl"/>
        </w:rPr>
        <w:t>388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B7873">
        <w:rPr>
          <w:rFonts w:ascii="Arial" w:hAnsi="Arial" w:cs="Arial"/>
          <w:b/>
          <w:sz w:val="24"/>
          <w:szCs w:val="24"/>
          <w:lang w:val="es-ES_tradnl"/>
        </w:rPr>
        <w:t>380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B7873">
        <w:rPr>
          <w:rFonts w:ascii="Arial" w:hAnsi="Arial" w:cs="Arial"/>
          <w:b/>
          <w:sz w:val="24"/>
          <w:szCs w:val="24"/>
          <w:lang w:val="es-ES_tradnl"/>
        </w:rPr>
        <w:t>8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3B7873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3B7873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380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3B7873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3B7873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388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A2601D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A2601D" w:rsidRPr="00D45367">
        <w:rPr>
          <w:rFonts w:ascii="Arial" w:hAnsi="Arial" w:cs="Arial"/>
          <w:sz w:val="24"/>
          <w:szCs w:val="24"/>
          <w:lang w:val="es-ES_tradnl"/>
        </w:rPr>
        <w:t>trimestre</w:t>
      </w:r>
      <w:r w:rsidR="00461457" w:rsidRPr="00D45367">
        <w:rPr>
          <w:rFonts w:ascii="Arial" w:hAnsi="Arial" w:cs="Arial"/>
          <w:sz w:val="24"/>
          <w:szCs w:val="24"/>
          <w:lang w:val="es-ES_tradnl"/>
        </w:rPr>
        <w:t>,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3B7873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114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3B7873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204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3B7873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318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7873">
        <w:rPr>
          <w:rFonts w:ascii="Arial" w:hAnsi="Arial" w:cs="Arial"/>
          <w:b/>
          <w:sz w:val="24"/>
          <w:szCs w:val="24"/>
          <w:lang w:val="es-ES_tradnl"/>
        </w:rPr>
        <w:t>32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B787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28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3B787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BB0063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3B787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3B7873">
              <w:rPr>
                <w:sz w:val="20"/>
                <w:szCs w:val="20"/>
                <w:lang w:val="es-ES_tradnl"/>
              </w:rPr>
              <w:t xml:space="preserve"> </w:t>
            </w:r>
            <w:r w:rsidR="003B7873" w:rsidRPr="00951F6B">
              <w:rPr>
                <w:sz w:val="20"/>
                <w:szCs w:val="20"/>
                <w:lang w:val="es-ES_tradnl"/>
              </w:rPr>
              <w:t>el solicitante tiene un  adeudo por una compraventa a crédito con interés moratorio del  4%</w:t>
            </w:r>
            <w:r w:rsidR="003B7873">
              <w:rPr>
                <w:sz w:val="20"/>
                <w:szCs w:val="20"/>
                <w:lang w:val="es-ES_tradnl"/>
              </w:rPr>
              <w:t xml:space="preserve">, </w:t>
            </w:r>
            <w:r w:rsidR="003B7873">
              <w:rPr>
                <w:sz w:val="24"/>
                <w:szCs w:val="24"/>
                <w:lang w:val="es-ES_tradnl"/>
              </w:rPr>
              <w:t>crédito de garantía prendaria.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3B787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B787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7873">
        <w:rPr>
          <w:rFonts w:ascii="Arial" w:hAnsi="Arial" w:cs="Arial"/>
          <w:b/>
          <w:sz w:val="24"/>
          <w:szCs w:val="24"/>
          <w:lang w:val="es-ES_tradnl"/>
        </w:rPr>
        <w:t>32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B7873">
        <w:rPr>
          <w:rFonts w:ascii="Arial" w:hAnsi="Arial" w:cs="Arial"/>
          <w:b/>
          <w:sz w:val="24"/>
          <w:szCs w:val="24"/>
          <w:lang w:val="es-ES_tradnl"/>
        </w:rPr>
        <w:t>32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3B7873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B0063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3B7873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>tramitadas en el mes de febr</w:t>
      </w:r>
      <w:r w:rsidR="009B131D">
        <w:rPr>
          <w:rFonts w:ascii="Arial" w:hAnsi="Arial" w:cs="Arial"/>
          <w:sz w:val="24"/>
          <w:szCs w:val="24"/>
          <w:lang w:val="es-ES_tradnl"/>
        </w:rPr>
        <w:t>ero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BB0063" w:rsidRDefault="003B7873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BB0063" w:rsidRDefault="003B7873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3B7873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62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D5D77" w:rsidRDefault="000D5D7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mes de </w:t>
      </w:r>
      <w:r w:rsidR="00CD4C7A">
        <w:rPr>
          <w:rFonts w:ascii="Arial" w:hAnsi="Arial" w:cs="Arial"/>
          <w:sz w:val="24"/>
          <w:szCs w:val="24"/>
          <w:lang w:val="es-ES_tradnl"/>
        </w:rPr>
        <w:t>enero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3B787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151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3B787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142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3B787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3B787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301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E2E81" w:rsidRPr="00282ED6" w:rsidRDefault="00814804" w:rsidP="007318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A2601D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3B787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B7873">
              <w:rPr>
                <w:rFonts w:ascii="Arial" w:hAnsi="Arial" w:cs="Arial"/>
                <w:sz w:val="24"/>
                <w:szCs w:val="24"/>
                <w:lang w:val="es-ES_tradnl"/>
              </w:rPr>
              <w:t>6,827,967.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BF0D0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B7873">
              <w:rPr>
                <w:rFonts w:ascii="Arial" w:hAnsi="Arial" w:cs="Arial"/>
                <w:sz w:val="24"/>
                <w:szCs w:val="24"/>
                <w:lang w:val="es-ES_tradnl"/>
              </w:rPr>
              <w:t>68,109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3B787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F0D0C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3B7873">
              <w:rPr>
                <w:rFonts w:ascii="Arial" w:hAnsi="Arial" w:cs="Arial"/>
                <w:sz w:val="24"/>
                <w:szCs w:val="24"/>
                <w:lang w:val="es-ES_tradnl"/>
              </w:rPr>
              <w:t>820,060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3B787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3B787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7,716,136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186C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73186C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230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73186C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336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73186C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AC" w:rsidRDefault="004555AC" w:rsidP="00D846D4">
      <w:pPr>
        <w:spacing w:after="0" w:line="240" w:lineRule="auto"/>
      </w:pPr>
      <w:r>
        <w:separator/>
      </w:r>
    </w:p>
  </w:endnote>
  <w:endnote w:type="continuationSeparator" w:id="0">
    <w:p w:rsidR="004555AC" w:rsidRDefault="004555AC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9F7250">
        <w:pPr>
          <w:pStyle w:val="Piedepgina"/>
          <w:jc w:val="right"/>
        </w:pPr>
        <w:fldSimple w:instr=" PAGE   \* MERGEFORMAT ">
          <w:r w:rsidR="004249F3">
            <w:rPr>
              <w:noProof/>
            </w:rPr>
            <w:t>1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AC" w:rsidRDefault="004555AC" w:rsidP="00D846D4">
      <w:pPr>
        <w:spacing w:after="0" w:line="240" w:lineRule="auto"/>
      </w:pPr>
      <w:r>
        <w:separator/>
      </w:r>
    </w:p>
  </w:footnote>
  <w:footnote w:type="continuationSeparator" w:id="0">
    <w:p w:rsidR="004555AC" w:rsidRDefault="004555AC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5DC"/>
    <w:rsid w:val="0004165C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84FF7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6886"/>
    <w:rsid w:val="00290560"/>
    <w:rsid w:val="00293D75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220E"/>
    <w:rsid w:val="00382E35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B7873"/>
    <w:rsid w:val="003C30F4"/>
    <w:rsid w:val="003C31D2"/>
    <w:rsid w:val="003C72E8"/>
    <w:rsid w:val="003C7879"/>
    <w:rsid w:val="003D11FB"/>
    <w:rsid w:val="003D2355"/>
    <w:rsid w:val="003D2E62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9D4"/>
    <w:rsid w:val="00415476"/>
    <w:rsid w:val="00420DDD"/>
    <w:rsid w:val="0042426A"/>
    <w:rsid w:val="004249F3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55AC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C17A7"/>
    <w:rsid w:val="004C2B16"/>
    <w:rsid w:val="004C2DA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5DFC"/>
    <w:rsid w:val="005C715A"/>
    <w:rsid w:val="005C733B"/>
    <w:rsid w:val="005D10E4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5EF1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86C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4E40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17B9"/>
    <w:rsid w:val="008335B9"/>
    <w:rsid w:val="00835C35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973"/>
    <w:rsid w:val="009E138F"/>
    <w:rsid w:val="009E1BCB"/>
    <w:rsid w:val="009E2648"/>
    <w:rsid w:val="009E3666"/>
    <w:rsid w:val="009E45C8"/>
    <w:rsid w:val="009F0272"/>
    <w:rsid w:val="009F137B"/>
    <w:rsid w:val="009F233C"/>
    <w:rsid w:val="009F2BAE"/>
    <w:rsid w:val="009F3212"/>
    <w:rsid w:val="009F42B8"/>
    <w:rsid w:val="009F4EFE"/>
    <w:rsid w:val="009F5FE1"/>
    <w:rsid w:val="009F7250"/>
    <w:rsid w:val="009F72D3"/>
    <w:rsid w:val="00A00641"/>
    <w:rsid w:val="00A04B6A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01D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7E1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2191C"/>
    <w:rsid w:val="00B22DAE"/>
    <w:rsid w:val="00B23459"/>
    <w:rsid w:val="00B25387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904C8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063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15ED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5367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7576"/>
    <w:rsid w:val="00D81AAA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CC8"/>
    <w:rsid w:val="00E2548B"/>
    <w:rsid w:val="00E25F54"/>
    <w:rsid w:val="00E2680A"/>
    <w:rsid w:val="00E26A78"/>
    <w:rsid w:val="00E27268"/>
    <w:rsid w:val="00E30BE7"/>
    <w:rsid w:val="00E35894"/>
    <w:rsid w:val="00E40B9F"/>
    <w:rsid w:val="00E41261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3BF"/>
    <w:rsid w:val="00F7544F"/>
    <w:rsid w:val="00F755FD"/>
    <w:rsid w:val="00F75C08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303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48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112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232</c:v>
                </c:pt>
                <c:pt idx="1">
                  <c:v>388</c:v>
                </c:pt>
                <c:pt idx="2">
                  <c:v>32</c:v>
                </c:pt>
                <c:pt idx="3">
                  <c:v>60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0222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32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192"/>
          <c:h val="0.7876984126985245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39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297517497812774"/>
                  <c:y val="0.2053290213723289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</c:v>
                </c:pt>
                <c:pt idx="1">
                  <c:v>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286"/>
          <c:w val="0.82407407407412214"/>
          <c:h val="0.787698412698525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739"/>
                  <c:y val="-0.138095238095239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151</c:v>
                </c:pt>
                <c:pt idx="1">
                  <c:v>142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292"/>
          <c:w val="0.82407407407412236"/>
          <c:h val="0.787698412698526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5607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884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6827967</c:v>
                </c:pt>
                <c:pt idx="1">
                  <c:v>820060</c:v>
                </c:pt>
                <c:pt idx="2">
                  <c:v>68109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11"/>
          <c:y val="0.13673286122253586"/>
          <c:w val="0.81621615935281056"/>
          <c:h val="0.7638892865665187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230</c:v>
                </c:pt>
                <c:pt idx="1">
                  <c:v>336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232</c:v>
                </c:pt>
                <c:pt idx="1">
                  <c:v>388</c:v>
                </c:pt>
                <c:pt idx="2">
                  <c:v>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0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97</c:v>
                </c:pt>
                <c:pt idx="1">
                  <c:v>59</c:v>
                </c:pt>
                <c:pt idx="2">
                  <c:v>69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1892"/>
          <c:h val="0.7876984126985168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220</c:v>
                </c:pt>
                <c:pt idx="1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192"/>
          <c:h val="0.7876984126985245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97</c:v>
                </c:pt>
                <c:pt idx="1">
                  <c:v>89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5156275157075424"/>
                  <c:y val="3.197590234106661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8.6767448642563264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7984956962049435E-3"/>
                  <c:y val="-0.15343127411087129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1914105110726858"/>
                  <c:y val="3.130370448660384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0.3135407298893869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3691412892807636"/>
                  <c:y val="1.6090471912487584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1785448665352002E-2"/>
                  <c:y val="-6.821434142437621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394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Hoja1!$A$2:$A$18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Posesión</c:v>
                </c:pt>
                <c:pt idx="13">
                  <c:v>Otros</c:v>
                </c:pt>
              </c:strCache>
            </c:strRef>
          </c:cat>
          <c:val>
            <c:numRef>
              <c:f>Hoja1!$B$2:$B$18</c:f>
              <c:numCache>
                <c:formatCode>General</c:formatCode>
                <c:ptCount val="17"/>
                <c:pt idx="0">
                  <c:v>34</c:v>
                </c:pt>
                <c:pt idx="1">
                  <c:v>133</c:v>
                </c:pt>
                <c:pt idx="2">
                  <c:v>112</c:v>
                </c:pt>
                <c:pt idx="3">
                  <c:v>9</c:v>
                </c:pt>
                <c:pt idx="4">
                  <c:v>2</c:v>
                </c:pt>
                <c:pt idx="5">
                  <c:v>17</c:v>
                </c:pt>
                <c:pt idx="6">
                  <c:v>35</c:v>
                </c:pt>
                <c:pt idx="7">
                  <c:v>1</c:v>
                </c:pt>
                <c:pt idx="8">
                  <c:v>2</c:v>
                </c:pt>
                <c:pt idx="9">
                  <c:v>20</c:v>
                </c:pt>
                <c:pt idx="10">
                  <c:v>12</c:v>
                </c:pt>
                <c:pt idx="11">
                  <c:v>2</c:v>
                </c:pt>
                <c:pt idx="12">
                  <c:v>3</c:v>
                </c:pt>
                <c:pt idx="13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380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275"/>
          <c:w val="0.82407407407412159"/>
          <c:h val="0.787698412698523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0"/>
                  <c:y val="2.963879515060624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114</c:v>
                </c:pt>
                <c:pt idx="1">
                  <c:v>204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2566414312046456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3"/>
                <c:pt idx="0">
                  <c:v>Otros</c:v>
                </c:pt>
                <c:pt idx="1">
                  <c:v>Titulos de Credito</c:v>
                </c:pt>
                <c:pt idx="2">
                  <c:v>Incumplimiento de Contrato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42F9-BCB0-4C4B-8F8D-805202EB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2</cp:revision>
  <cp:lastPrinted>2017-04-05T16:26:00Z</cp:lastPrinted>
  <dcterms:created xsi:type="dcterms:W3CDTF">2017-04-20T22:06:00Z</dcterms:created>
  <dcterms:modified xsi:type="dcterms:W3CDTF">2017-04-20T22:06:00Z</dcterms:modified>
</cp:coreProperties>
</file>