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9C757E" w:rsidRDefault="00C55A7C" w:rsidP="009C75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90376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C757E">
        <w:rPr>
          <w:rFonts w:ascii="Arial" w:hAnsi="Arial" w:cs="Arial"/>
          <w:b/>
          <w:sz w:val="24"/>
          <w:szCs w:val="24"/>
          <w:lang w:val="es-ES_tradnl"/>
        </w:rPr>
        <w:t>TRIMESTRAL</w:t>
      </w:r>
    </w:p>
    <w:p w:rsidR="00075CEC" w:rsidRDefault="001506FF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90376E" w:rsidRPr="00C9744C" w:rsidRDefault="0090376E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1D75FE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JULIO A SEPTIEMBRE</w:t>
      </w:r>
      <w:r w:rsidR="007C3DC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5F7A6D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9C757E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6843DB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6843DB">
        <w:rPr>
          <w:rFonts w:ascii="Arial" w:hAnsi="Arial" w:cs="Arial"/>
          <w:sz w:val="24"/>
          <w:szCs w:val="24"/>
          <w:lang w:val="es-ES_tradnl"/>
        </w:rPr>
        <w:t xml:space="preserve">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D75FE">
        <w:rPr>
          <w:rFonts w:ascii="Arial" w:hAnsi="Arial" w:cs="Arial"/>
          <w:b/>
          <w:sz w:val="24"/>
          <w:szCs w:val="24"/>
          <w:lang w:val="es-ES_tradnl"/>
        </w:rPr>
        <w:t>julio</w:t>
      </w:r>
      <w:r w:rsidR="00A4356E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 w:rsidR="001D75FE"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B663F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del año en curso, se recibieron un total de </w:t>
      </w:r>
      <w:r w:rsidR="001D75FE">
        <w:rPr>
          <w:rFonts w:ascii="Arial" w:hAnsi="Arial" w:cs="Arial"/>
          <w:b/>
          <w:sz w:val="24"/>
          <w:szCs w:val="24"/>
          <w:lang w:val="es-ES_tradnl"/>
        </w:rPr>
        <w:t>549</w:t>
      </w:r>
      <w:r w:rsidR="00C559DB" w:rsidRPr="00C559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5258"/>
        <w:tblW w:w="0" w:type="auto"/>
        <w:tblLook w:val="04A0"/>
      </w:tblPr>
      <w:tblGrid>
        <w:gridCol w:w="1798"/>
        <w:gridCol w:w="1429"/>
        <w:gridCol w:w="1134"/>
        <w:gridCol w:w="1603"/>
        <w:gridCol w:w="2596"/>
        <w:gridCol w:w="1016"/>
      </w:tblGrid>
      <w:tr w:rsidR="00275170" w:rsidRPr="000633FF" w:rsidTr="009C757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70" w:rsidRPr="000B5D15" w:rsidRDefault="00275170" w:rsidP="002751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275170" w:rsidRPr="000B5D15" w:rsidRDefault="00275170" w:rsidP="0027517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70" w:rsidRPr="000633FF" w:rsidRDefault="00275170" w:rsidP="00275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170" w:rsidRPr="000633FF" w:rsidRDefault="00275170" w:rsidP="00275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70" w:rsidRPr="000633FF" w:rsidRDefault="00275170" w:rsidP="00275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70" w:rsidRPr="000633FF" w:rsidRDefault="00275170" w:rsidP="00275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70" w:rsidRPr="000633FF" w:rsidRDefault="00275170" w:rsidP="002751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275170" w:rsidRPr="000633FF" w:rsidTr="009C757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170" w:rsidRPr="000B5D15" w:rsidRDefault="00275170" w:rsidP="00A435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170" w:rsidRPr="000633FF" w:rsidRDefault="001D75FE" w:rsidP="00A43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170" w:rsidRDefault="001D75FE" w:rsidP="00A43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170" w:rsidRPr="000633FF" w:rsidRDefault="001D75FE" w:rsidP="00A43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170" w:rsidRPr="000633FF" w:rsidRDefault="001D75FE" w:rsidP="00A43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170" w:rsidRPr="000633FF" w:rsidRDefault="001D75FE" w:rsidP="00A435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549</w:t>
            </w:r>
          </w:p>
        </w:tc>
      </w:tr>
    </w:tbl>
    <w:p w:rsidR="00CC4184" w:rsidRPr="000B5D15" w:rsidRDefault="00CC4184" w:rsidP="00A4356E">
      <w:pPr>
        <w:jc w:val="center"/>
        <w:rPr>
          <w:lang w:val="es-ES_tradnl"/>
        </w:rPr>
      </w:pPr>
    </w:p>
    <w:p w:rsidR="003C7879" w:rsidRDefault="003C7879" w:rsidP="003C7879">
      <w:pPr>
        <w:jc w:val="center"/>
      </w:pPr>
    </w:p>
    <w:p w:rsidR="00275170" w:rsidRDefault="00275170" w:rsidP="003C7879">
      <w:pPr>
        <w:jc w:val="center"/>
      </w:pPr>
      <w:r w:rsidRPr="00275170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D25195">
        <w:rPr>
          <w:rFonts w:ascii="Arial" w:hAnsi="Arial" w:cs="Arial"/>
          <w:b/>
          <w:sz w:val="24"/>
          <w:szCs w:val="24"/>
          <w:lang w:val="es-ES_tradnl"/>
        </w:rPr>
        <w:t>529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D25195">
        <w:rPr>
          <w:rFonts w:ascii="Arial" w:hAnsi="Arial" w:cs="Arial"/>
          <w:sz w:val="24"/>
          <w:szCs w:val="24"/>
          <w:lang w:val="es-ES_tradnl"/>
        </w:rPr>
        <w:t>175</w:t>
      </w:r>
      <w:r w:rsidR="00C241E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D25195">
        <w:rPr>
          <w:rFonts w:ascii="Arial" w:hAnsi="Arial" w:cs="Arial"/>
          <w:sz w:val="24"/>
          <w:szCs w:val="24"/>
          <w:lang w:val="es-ES_tradnl"/>
        </w:rPr>
        <w:t>314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D25195">
        <w:rPr>
          <w:rFonts w:ascii="Arial" w:hAnsi="Arial" w:cs="Arial"/>
          <w:sz w:val="24"/>
          <w:szCs w:val="24"/>
          <w:lang w:val="es-ES_tradnl"/>
        </w:rPr>
        <w:t>40</w:t>
      </w:r>
      <w:r w:rsidR="008E496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19532C" w:rsidRDefault="00D25195" w:rsidP="00AC4EE1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19532C" w:rsidRDefault="00D25195" w:rsidP="00AC4EE1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314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19532C" w:rsidRDefault="00D25195" w:rsidP="00AC4EE1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D25195" w:rsidP="00AC4E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529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F1E7A" w:rsidRDefault="009F1E7A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B0D0A">
        <w:rPr>
          <w:rFonts w:ascii="Arial" w:hAnsi="Arial" w:cs="Arial"/>
          <w:b/>
          <w:sz w:val="24"/>
          <w:szCs w:val="24"/>
          <w:lang w:val="es-ES_tradnl"/>
        </w:rPr>
        <w:t>175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4B0D0A" w:rsidTr="004B0D0A">
        <w:tc>
          <w:tcPr>
            <w:tcW w:w="6662" w:type="dxa"/>
          </w:tcPr>
          <w:p w:rsidR="004B0D0A" w:rsidRDefault="004B0D0A" w:rsidP="004B0D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410" w:type="dxa"/>
          </w:tcPr>
          <w:p w:rsidR="004B0D0A" w:rsidRDefault="004B0D0A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4B0D0A" w:rsidTr="004B0D0A">
        <w:tc>
          <w:tcPr>
            <w:tcW w:w="6662" w:type="dxa"/>
          </w:tcPr>
          <w:p w:rsidR="004B0D0A" w:rsidRDefault="004B0D0A" w:rsidP="004B0D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410" w:type="dxa"/>
          </w:tcPr>
          <w:p w:rsidR="004B0D0A" w:rsidRDefault="004B0D0A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4B0D0A" w:rsidTr="004B0D0A">
        <w:tc>
          <w:tcPr>
            <w:tcW w:w="6662" w:type="dxa"/>
          </w:tcPr>
          <w:p w:rsidR="004B0D0A" w:rsidRDefault="004B0D0A" w:rsidP="004B0D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4B0D0A" w:rsidRDefault="004B0D0A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4B0D0A" w:rsidTr="004B0D0A">
        <w:tc>
          <w:tcPr>
            <w:tcW w:w="6662" w:type="dxa"/>
          </w:tcPr>
          <w:p w:rsidR="004B0D0A" w:rsidRDefault="004B0D0A" w:rsidP="004B0D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Controversias del Orden Familiar</w:t>
            </w:r>
          </w:p>
        </w:tc>
        <w:tc>
          <w:tcPr>
            <w:tcW w:w="2410" w:type="dxa"/>
          </w:tcPr>
          <w:p w:rsidR="004B0D0A" w:rsidRDefault="004B0D0A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4B0D0A" w:rsidTr="004B0D0A">
        <w:tc>
          <w:tcPr>
            <w:tcW w:w="6662" w:type="dxa"/>
          </w:tcPr>
          <w:p w:rsidR="004B0D0A" w:rsidRDefault="004B0D0A" w:rsidP="00350B75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350B7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350B75" w:rsidRPr="003F05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(solicita acceso al domicilio que habitaba con su concubino por sus pertenencias, solicita ayuda económica para manutención de hijo no reconocido, solicita que su </w:t>
            </w:r>
            <w:proofErr w:type="spellStart"/>
            <w:r w:rsidR="00350B75" w:rsidRPr="003F052A">
              <w:rPr>
                <w:rFonts w:ascii="Arial" w:hAnsi="Arial" w:cs="Arial"/>
                <w:sz w:val="24"/>
                <w:szCs w:val="24"/>
                <w:lang w:val="es-ES_tradnl"/>
              </w:rPr>
              <w:t>exconcubina</w:t>
            </w:r>
            <w:proofErr w:type="spellEnd"/>
            <w:r w:rsidR="00350B75" w:rsidRPr="003F05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devuelva electrodomésticos que se llevó al momento de su separación)</w:t>
            </w:r>
          </w:p>
        </w:tc>
        <w:tc>
          <w:tcPr>
            <w:tcW w:w="2410" w:type="dxa"/>
          </w:tcPr>
          <w:p w:rsidR="004B0D0A" w:rsidRDefault="004B0D0A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4B0D0A" w:rsidTr="004B0D0A">
        <w:tc>
          <w:tcPr>
            <w:tcW w:w="6662" w:type="dxa"/>
          </w:tcPr>
          <w:p w:rsidR="004B0D0A" w:rsidRPr="004B0D0A" w:rsidRDefault="004B0D0A" w:rsidP="00B030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B0D0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4B0D0A" w:rsidRDefault="004B0D0A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</w:p>
        </w:tc>
      </w:tr>
    </w:tbl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Pr="00B0300F" w:rsidRDefault="00B0300F" w:rsidP="00B0300F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3C7879" w:rsidRPr="00D84DC2" w:rsidRDefault="00B0300F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</w:t>
      </w:r>
      <w:r w:rsidR="003C7879"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8771" cy="3895107"/>
            <wp:effectExtent l="19050" t="0" r="24229" b="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50B7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CD6250" w:rsidRDefault="00CD625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0300F" w:rsidRDefault="00B0300F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0300F" w:rsidRDefault="00B0300F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0300F" w:rsidRDefault="00B0300F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50B75">
        <w:rPr>
          <w:rFonts w:ascii="Arial" w:hAnsi="Arial" w:cs="Arial"/>
          <w:b/>
          <w:sz w:val="24"/>
          <w:szCs w:val="24"/>
          <w:lang w:val="es-ES_tradnl"/>
        </w:rPr>
        <w:t>175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50B75">
        <w:rPr>
          <w:rFonts w:ascii="Arial" w:hAnsi="Arial" w:cs="Arial"/>
          <w:b/>
          <w:sz w:val="24"/>
          <w:szCs w:val="24"/>
          <w:lang w:val="es-ES_tradnl"/>
        </w:rPr>
        <w:t>165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350B75">
        <w:rPr>
          <w:rFonts w:ascii="Arial" w:hAnsi="Arial" w:cs="Arial"/>
          <w:b/>
          <w:sz w:val="24"/>
          <w:szCs w:val="24"/>
          <w:lang w:val="es-ES_tradnl"/>
        </w:rPr>
        <w:t>10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19532C" w:rsidRDefault="00350B75" w:rsidP="00ED1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165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19532C" w:rsidRDefault="00350B75" w:rsidP="00ED1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350B75" w:rsidP="00ED1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175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827B0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7B0D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14D8" w:rsidRDefault="00D314D8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14D8" w:rsidRDefault="00D314D8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F0678">
        <w:rPr>
          <w:rFonts w:ascii="Arial" w:hAnsi="Arial" w:cs="Arial"/>
          <w:b/>
          <w:sz w:val="24"/>
          <w:szCs w:val="24"/>
          <w:lang w:val="es-ES_tradnl"/>
        </w:rPr>
        <w:t>165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19532C" w:rsidRDefault="005F0678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52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19532C" w:rsidRDefault="00D314D8" w:rsidP="009C75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CE1D36" w:rsidRPr="0019532C" w:rsidRDefault="005F0678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104</w:t>
            </w:r>
          </w:p>
        </w:tc>
      </w:tr>
      <w:tr w:rsidR="00C33106" w:rsidTr="00ED73D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C33106" w:rsidRPr="005F0678" w:rsidRDefault="005F0678" w:rsidP="00E14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 w:rsidRPr="005F067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827B0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7B0D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7F204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204D" w:rsidRDefault="007F204D" w:rsidP="007F204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0C3554">
        <w:rPr>
          <w:rFonts w:ascii="Arial" w:hAnsi="Arial" w:cs="Arial"/>
          <w:b/>
          <w:sz w:val="24"/>
          <w:szCs w:val="24"/>
          <w:lang w:val="es-ES_tradnl"/>
        </w:rPr>
        <w:t>314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BD2D94" w:rsidRPr="002B41D8" w:rsidTr="00201D6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BD2D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ontrato de mutuo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BD2D94" w:rsidRPr="002B41D8" w:rsidTr="00201D6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ncumplimiento de un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</w:tr>
      <w:tr w:rsidR="00BD2D94" w:rsidRPr="002B41D8" w:rsidTr="00201D65">
        <w:trPr>
          <w:trHeight w:val="365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BD2D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rrendamiento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</w:tr>
      <w:tr w:rsidR="00BD2D94" w:rsidRPr="002B41D8" w:rsidTr="00201D65">
        <w:trPr>
          <w:trHeight w:val="256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ropiedad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22206" w:rsidRPr="002B41D8" w:rsidTr="00201D65">
        <w:trPr>
          <w:trHeight w:val="256"/>
        </w:trPr>
        <w:tc>
          <w:tcPr>
            <w:tcW w:w="7717" w:type="dxa"/>
            <w:shd w:val="clear" w:color="auto" w:fill="FFFFFF" w:themeFill="background1"/>
            <w:hideMark/>
          </w:tcPr>
          <w:p w:rsidR="00822206" w:rsidRPr="002B41D8" w:rsidRDefault="00822206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22206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D2D94" w:rsidRPr="002B41D8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omodato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BD2D94" w:rsidRPr="002B41D8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ompra 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BD2D94" w:rsidRPr="002B41D8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arantías de servicio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BD2D94" w:rsidRPr="002B41D8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19532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822206" w:rsidRPr="002B41D8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22206" w:rsidRPr="002B41D8" w:rsidRDefault="00822206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22206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D2D94" w:rsidRPr="002B41D8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ago de pesos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BD2D94" w:rsidRPr="002B41D8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B07C1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onflictos vecinales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BD2D94" w:rsidRPr="002B41D8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B41D8" w:rsidRDefault="0019532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822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D2D94" w:rsidRPr="009E630C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9E630C" w:rsidRDefault="009E630C" w:rsidP="009E630C">
            <w:pPr>
              <w:spacing w:after="0" w:line="16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BD2D94" w:rsidRPr="002B41D8" w:rsidRDefault="009E630C" w:rsidP="009E630C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 </w:t>
            </w:r>
            <w:r w:rsidRPr="003F052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(</w:t>
            </w:r>
            <w:r w:rsidR="00822206" w:rsidRPr="003F052A">
              <w:rPr>
                <w:rFonts w:ascii="Arial" w:hAnsi="Arial" w:cs="Arial"/>
                <w:lang w:val="es-ES_tradnl"/>
              </w:rPr>
              <w:t>2 usuarios solicitan pago de gastos por lesiones sufridas en tienda departamental, 5 solicitan conciliación para reparación de daño moral por difamación, reparación de daño por lesiones en casino, solicita pago de daños y perjuicios por no poder trabajar a consecuencia de accidente de tránsito)</w:t>
            </w:r>
            <w:r w:rsidR="0019532C" w:rsidRPr="002B41D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B41D8" w:rsidRDefault="00822206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19532C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822206" w:rsidP="00B11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314</w:t>
            </w:r>
          </w:p>
        </w:tc>
      </w:tr>
    </w:tbl>
    <w:p w:rsidR="003C7879" w:rsidRDefault="00F605CC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859236" cy="2861954"/>
            <wp:effectExtent l="19050" t="0" r="27214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848" w:rsidRDefault="003C7879" w:rsidP="00325D2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</w:t>
      </w:r>
      <w:r w:rsidR="00325D26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</w:p>
    <w:p w:rsidR="009C7F1D" w:rsidRDefault="009C7F1D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9C7F1D">
        <w:rPr>
          <w:rFonts w:ascii="Arial" w:hAnsi="Arial" w:cs="Arial"/>
          <w:b/>
          <w:sz w:val="24"/>
          <w:szCs w:val="24"/>
          <w:lang w:val="es-ES_tradnl"/>
        </w:rPr>
        <w:t>314</w:t>
      </w:r>
      <w:r w:rsidR="004B24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C7F1D">
        <w:rPr>
          <w:rFonts w:ascii="Arial" w:hAnsi="Arial" w:cs="Arial"/>
          <w:b/>
          <w:sz w:val="24"/>
          <w:szCs w:val="24"/>
          <w:lang w:val="es-ES_tradnl"/>
        </w:rPr>
        <w:t>307</w:t>
      </w:r>
      <w:r w:rsidR="004B24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C7F1D">
        <w:rPr>
          <w:rFonts w:ascii="Arial" w:hAnsi="Arial" w:cs="Arial"/>
          <w:b/>
          <w:sz w:val="24"/>
          <w:szCs w:val="24"/>
          <w:lang w:val="es-ES_tradnl"/>
        </w:rPr>
        <w:t>7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2B41D8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9C7F1D">
              <w:rPr>
                <w:rFonts w:ascii="Arial" w:hAnsi="Arial" w:cs="Arial"/>
                <w:sz w:val="24"/>
                <w:szCs w:val="24"/>
                <w:lang w:val="es-ES_tradnl"/>
              </w:rPr>
              <w:t>07</w:t>
            </w:r>
          </w:p>
        </w:tc>
      </w:tr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9C7F1D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51065A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9C7F1D" w:rsidP="00E14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314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176E" w:rsidRDefault="00C8176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176E" w:rsidRDefault="00C8176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176E" w:rsidRDefault="00C8176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357B36">
        <w:rPr>
          <w:rFonts w:ascii="Arial" w:hAnsi="Arial" w:cs="Arial"/>
          <w:b/>
          <w:sz w:val="24"/>
          <w:szCs w:val="24"/>
          <w:lang w:val="es-ES_tradnl"/>
        </w:rPr>
        <w:t>307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357B36" w:rsidP="00BA51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B7C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357B36" w:rsidP="00BA51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461457" w:rsidRPr="00841795" w:rsidRDefault="00357B36" w:rsidP="00BA51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227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357B36" w:rsidP="00BA51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0848" w:rsidRDefault="00820848" w:rsidP="003F052A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3F052A">
        <w:rPr>
          <w:rFonts w:ascii="Arial" w:hAnsi="Arial" w:cs="Arial"/>
          <w:sz w:val="24"/>
          <w:szCs w:val="24"/>
          <w:lang w:val="es-ES_tradnl"/>
        </w:rPr>
        <w:t xml:space="preserve"> 40</w:t>
      </w:r>
      <w:r w:rsidR="00DB12B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B0300F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55308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elativos a títulos de crédito</w:t>
            </w:r>
          </w:p>
        </w:tc>
        <w:tc>
          <w:tcPr>
            <w:tcW w:w="1320" w:type="dxa"/>
            <w:shd w:val="clear" w:color="auto" w:fill="FFFFFF" w:themeFill="background1"/>
            <w:vAlign w:val="center"/>
            <w:hideMark/>
          </w:tcPr>
          <w:p w:rsidR="00867AC4" w:rsidRPr="0055308B" w:rsidRDefault="003F052A" w:rsidP="00B030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34</w:t>
            </w:r>
          </w:p>
        </w:tc>
      </w:tr>
      <w:tr w:rsidR="00867AC4" w:rsidRPr="00201D65" w:rsidTr="00B0300F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55308B" w:rsidP="003F052A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tros asuntos</w:t>
            </w:r>
            <w:r w:rsidR="0071539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3F052A" w:rsidRPr="003F052A"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 w:rsidR="003F052A" w:rsidRPr="003F052A">
              <w:rPr>
                <w:rFonts w:ascii="Arial" w:hAnsi="Arial" w:cs="Arial"/>
                <w:lang w:val="es-ES_tradnl"/>
              </w:rPr>
              <w:t>4 Reestructuración de cr</w:t>
            </w:r>
            <w:r w:rsidR="003F052A" w:rsidRPr="003F052A">
              <w:rPr>
                <w:rFonts w:ascii="Arial" w:hAnsi="Arial" w:cs="Arial"/>
                <w:lang w:val="es-ES_tradnl" w:eastAsia="ja-JP"/>
              </w:rPr>
              <w:t>édito de habilitación y avío,</w:t>
            </w:r>
            <w:r w:rsidR="003F052A" w:rsidRPr="003F052A">
              <w:rPr>
                <w:rFonts w:ascii="Arial" w:hAnsi="Arial" w:cs="Arial"/>
                <w:lang w:val="es-ES_tradnl"/>
              </w:rPr>
              <w:t xml:space="preserve"> contrató los servicios de un intermediario para trámite de fideicomiso para ahorro de energía en su negocio, solicita reestructuración de crédito con financiera</w:t>
            </w:r>
            <w:r w:rsidR="003F052A" w:rsidRPr="003F052A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20" w:type="dxa"/>
            <w:shd w:val="clear" w:color="auto" w:fill="FFFFFF" w:themeFill="background1"/>
            <w:vAlign w:val="center"/>
            <w:hideMark/>
          </w:tcPr>
          <w:p w:rsidR="00867AC4" w:rsidRPr="0055308B" w:rsidRDefault="003F052A" w:rsidP="00B030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201D65" w:rsidTr="00B0300F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55308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vAlign w:val="center"/>
            <w:hideMark/>
          </w:tcPr>
          <w:p w:rsidR="00867AC4" w:rsidRPr="00201D65" w:rsidRDefault="003F052A" w:rsidP="00B03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</w:t>
            </w:r>
          </w:p>
        </w:tc>
      </w:tr>
    </w:tbl>
    <w:p w:rsidR="00820848" w:rsidRDefault="00820848" w:rsidP="00867AC4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0848" w:rsidRDefault="00820848" w:rsidP="0051121E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844862">
        <w:rPr>
          <w:rFonts w:ascii="Arial" w:hAnsi="Arial" w:cs="Arial"/>
          <w:b/>
          <w:sz w:val="24"/>
          <w:szCs w:val="24"/>
          <w:lang w:val="es-ES_tradnl"/>
        </w:rPr>
        <w:t>40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44862">
        <w:rPr>
          <w:rFonts w:ascii="Arial" w:hAnsi="Arial" w:cs="Arial"/>
          <w:b/>
          <w:sz w:val="24"/>
          <w:szCs w:val="24"/>
          <w:lang w:val="es-ES_tradnl"/>
        </w:rPr>
        <w:t>39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44862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55308B" w:rsidRDefault="00844862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55308B" w:rsidRDefault="00844862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844862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7C48FC">
        <w:rPr>
          <w:rFonts w:ascii="Arial" w:hAnsi="Arial" w:cs="Arial"/>
          <w:b/>
          <w:sz w:val="24"/>
          <w:szCs w:val="24"/>
          <w:lang w:val="es-ES_tradnl"/>
        </w:rPr>
        <w:t>39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70188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7C48FC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770188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7C48FC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770188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7C48FC" w:rsidP="007D05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  <w:tr w:rsidR="00770188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7C48FC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867AC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0848" w:rsidRDefault="00820848" w:rsidP="00F66F5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73367" w:rsidRDefault="00473367" w:rsidP="009F1E7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32C13" w:rsidRPr="00282ED6" w:rsidRDefault="00032C13" w:rsidP="00032C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ab/>
      </w: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032C13" w:rsidRPr="00282ED6" w:rsidRDefault="00032C13" w:rsidP="00032C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2C13" w:rsidRDefault="00032C13" w:rsidP="00032C1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número de personas beneficiadas por la solución de conflictos a través del uso de los métodos altern</w:t>
      </w:r>
      <w:r w:rsidR="002473F9">
        <w:rPr>
          <w:rFonts w:ascii="Arial" w:hAnsi="Arial" w:cs="Arial"/>
          <w:sz w:val="24"/>
          <w:szCs w:val="24"/>
          <w:lang w:val="es-ES_tradnl"/>
        </w:rPr>
        <w:t xml:space="preserve">os durante en el trimestre </w:t>
      </w:r>
      <w:r w:rsidR="00F66F5A">
        <w:rPr>
          <w:rFonts w:ascii="Arial" w:hAnsi="Arial" w:cs="Arial"/>
          <w:sz w:val="24"/>
          <w:szCs w:val="24"/>
          <w:lang w:val="es-ES_tradnl"/>
        </w:rPr>
        <w:t>julio a septiembre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032C13" w:rsidRDefault="00032C13" w:rsidP="00032C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032C13" w:rsidTr="006755DD">
        <w:tc>
          <w:tcPr>
            <w:tcW w:w="1559" w:type="dxa"/>
          </w:tcPr>
          <w:p w:rsidR="00032C13" w:rsidRDefault="00032C13" w:rsidP="006755D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032C13" w:rsidRPr="00D26F8A" w:rsidRDefault="00F66F5A" w:rsidP="006755D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26F8A">
              <w:rPr>
                <w:rFonts w:ascii="Arial" w:hAnsi="Arial" w:cs="Arial"/>
                <w:sz w:val="24"/>
                <w:szCs w:val="24"/>
                <w:lang w:val="es-ES_tradnl"/>
              </w:rPr>
              <w:t>226</w:t>
            </w:r>
          </w:p>
        </w:tc>
      </w:tr>
      <w:tr w:rsidR="00032C13" w:rsidTr="006755DD">
        <w:tc>
          <w:tcPr>
            <w:tcW w:w="1559" w:type="dxa"/>
          </w:tcPr>
          <w:p w:rsidR="00032C13" w:rsidRDefault="00032C13" w:rsidP="006755D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032C13" w:rsidRPr="00D26F8A" w:rsidRDefault="00D26F8A" w:rsidP="006755D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26F8A"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032C13" w:rsidTr="006755DD">
        <w:tc>
          <w:tcPr>
            <w:tcW w:w="1559" w:type="dxa"/>
          </w:tcPr>
          <w:p w:rsidR="00032C13" w:rsidRDefault="00032C13" w:rsidP="006755D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032C13" w:rsidRPr="00D26F8A" w:rsidRDefault="00D26F8A" w:rsidP="006755D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26F8A">
              <w:rPr>
                <w:rFonts w:ascii="Arial" w:hAnsi="Arial" w:cs="Arial"/>
                <w:sz w:val="24"/>
                <w:szCs w:val="24"/>
                <w:lang w:val="es-ES_tradnl"/>
              </w:rPr>
              <w:t>226</w:t>
            </w:r>
          </w:p>
        </w:tc>
      </w:tr>
      <w:tr w:rsidR="00032C13" w:rsidTr="006755DD">
        <w:tc>
          <w:tcPr>
            <w:tcW w:w="1559" w:type="dxa"/>
          </w:tcPr>
          <w:p w:rsidR="00032C13" w:rsidRPr="00A00641" w:rsidRDefault="00032C13" w:rsidP="00B0300F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032C13" w:rsidRPr="00FA58D4" w:rsidRDefault="00F66F5A" w:rsidP="006755DD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490</w:t>
            </w:r>
          </w:p>
        </w:tc>
      </w:tr>
    </w:tbl>
    <w:p w:rsidR="00032C13" w:rsidRDefault="00032C13" w:rsidP="00032C13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32C13" w:rsidRDefault="00032C13" w:rsidP="00032C13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</w:p>
    <w:p w:rsidR="00032C13" w:rsidRDefault="00032C13" w:rsidP="00032C13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2C13" w:rsidRDefault="00032C13" w:rsidP="00032C13">
      <w:pPr>
        <w:rPr>
          <w:rFonts w:ascii="Arial" w:hAnsi="Arial" w:cs="Arial"/>
          <w:sz w:val="24"/>
          <w:szCs w:val="24"/>
          <w:lang w:val="es-ES_tradnl"/>
        </w:rPr>
      </w:pPr>
    </w:p>
    <w:p w:rsidR="00473367" w:rsidRDefault="00473367" w:rsidP="00032C13">
      <w:pPr>
        <w:tabs>
          <w:tab w:val="left" w:pos="5404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032C13" w:rsidRDefault="00032C13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2C13" w:rsidRPr="00282ED6" w:rsidRDefault="00032C13" w:rsidP="00032C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032C13" w:rsidRPr="00282ED6" w:rsidRDefault="00032C13" w:rsidP="00032C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2C13" w:rsidRDefault="00032C13" w:rsidP="00032C1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métodos altern</w:t>
      </w:r>
      <w:r w:rsidR="00681E4B">
        <w:rPr>
          <w:rFonts w:ascii="Arial" w:hAnsi="Arial" w:cs="Arial"/>
          <w:sz w:val="24"/>
          <w:szCs w:val="24"/>
          <w:lang w:val="es-ES_tradnl"/>
        </w:rPr>
        <w:t>os durante los meses de julio a septiembre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032C13" w:rsidRDefault="00032C13" w:rsidP="00032C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51"/>
      </w:tblGrid>
      <w:tr w:rsidR="00032C13" w:rsidTr="006755DD">
        <w:tc>
          <w:tcPr>
            <w:tcW w:w="1559" w:type="dxa"/>
          </w:tcPr>
          <w:p w:rsidR="00032C13" w:rsidRDefault="00032C13" w:rsidP="006755D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032C13" w:rsidRPr="00FA58D4" w:rsidRDefault="00681E4B" w:rsidP="006755D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$1’882,283</w:t>
            </w:r>
            <w:r w:rsidR="00D26F8A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032C13" w:rsidTr="006755DD">
        <w:tc>
          <w:tcPr>
            <w:tcW w:w="1559" w:type="dxa"/>
          </w:tcPr>
          <w:p w:rsidR="00032C13" w:rsidRDefault="00032C13" w:rsidP="006755D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032C13" w:rsidRPr="00FA58D4" w:rsidRDefault="00681E4B" w:rsidP="006755D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D26F8A">
              <w:rPr>
                <w:rFonts w:ascii="Arial" w:hAnsi="Arial" w:cs="Arial"/>
                <w:sz w:val="24"/>
                <w:szCs w:val="24"/>
                <w:lang w:val="es-ES_tradnl"/>
              </w:rPr>
              <w:t>1,396,339.00</w:t>
            </w:r>
          </w:p>
        </w:tc>
      </w:tr>
      <w:tr w:rsidR="00032C13" w:rsidTr="006755DD">
        <w:tc>
          <w:tcPr>
            <w:tcW w:w="1559" w:type="dxa"/>
          </w:tcPr>
          <w:p w:rsidR="00032C13" w:rsidRDefault="00032C13" w:rsidP="006755D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032C13" w:rsidRPr="00FA58D4" w:rsidRDefault="00681E4B" w:rsidP="006755D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D26F8A">
              <w:rPr>
                <w:rFonts w:ascii="Arial" w:hAnsi="Arial" w:cs="Arial"/>
                <w:sz w:val="24"/>
                <w:szCs w:val="24"/>
                <w:lang w:val="es-ES_tradnl"/>
              </w:rPr>
              <w:t>488,782.00</w:t>
            </w:r>
          </w:p>
        </w:tc>
      </w:tr>
      <w:tr w:rsidR="00032C13" w:rsidTr="006755DD">
        <w:tc>
          <w:tcPr>
            <w:tcW w:w="1559" w:type="dxa"/>
          </w:tcPr>
          <w:p w:rsidR="00032C13" w:rsidRPr="00A00641" w:rsidRDefault="00032C13" w:rsidP="00B0300F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032C13" w:rsidRPr="00FA58D4" w:rsidRDefault="00681E4B" w:rsidP="006755DD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$3’767,404</w:t>
            </w:r>
            <w:r w:rsidR="00D26F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032C13" w:rsidRDefault="00032C13" w:rsidP="00032C13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32C13" w:rsidRPr="00282ED6" w:rsidRDefault="00032C13" w:rsidP="00032C13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32C13" w:rsidRDefault="00032C13" w:rsidP="00032C13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32C13" w:rsidRDefault="00032C13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2C13" w:rsidRDefault="00032C13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32C13" w:rsidRDefault="00032C13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B12B9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326A37" w:rsidRPr="00075CEC" w:rsidRDefault="00CB1971" w:rsidP="00CB19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326A37" w:rsidRPr="00075CEC" w:rsidRDefault="00CB1971" w:rsidP="00CB19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CB1971" w:rsidP="00CB19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A560F" w:rsidRPr="009A560F" w:rsidRDefault="009A560F" w:rsidP="009A560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9A560F" w:rsidRPr="009A560F" w:rsidRDefault="009A560F" w:rsidP="009A560F">
      <w:pPr>
        <w:rPr>
          <w:rFonts w:ascii="Arial" w:hAnsi="Arial" w:cs="Arial"/>
          <w:sz w:val="24"/>
          <w:szCs w:val="24"/>
          <w:lang w:val="es-ES_tradnl"/>
        </w:rPr>
      </w:pPr>
    </w:p>
    <w:p w:rsidR="00C9744C" w:rsidRPr="009A560F" w:rsidRDefault="00C9744C" w:rsidP="009A560F">
      <w:pPr>
        <w:rPr>
          <w:rFonts w:ascii="Arial" w:hAnsi="Arial" w:cs="Arial"/>
          <w:sz w:val="24"/>
          <w:szCs w:val="24"/>
          <w:lang w:val="es-ES_tradnl"/>
        </w:rPr>
      </w:pPr>
    </w:p>
    <w:sectPr w:rsidR="00C9744C" w:rsidRPr="009A560F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D0" w:rsidRDefault="006817D0" w:rsidP="00D846D4">
      <w:pPr>
        <w:spacing w:after="0" w:line="240" w:lineRule="auto"/>
      </w:pPr>
      <w:r>
        <w:separator/>
      </w:r>
    </w:p>
  </w:endnote>
  <w:endnote w:type="continuationSeparator" w:id="0">
    <w:p w:rsidR="006817D0" w:rsidRDefault="006817D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B115BA" w:rsidRDefault="00827B0D">
        <w:pPr>
          <w:pStyle w:val="Piedepgina"/>
          <w:jc w:val="right"/>
        </w:pPr>
        <w:fldSimple w:instr=" PAGE   \* MERGEFORMAT ">
          <w:r w:rsidR="00AE64D8">
            <w:rPr>
              <w:noProof/>
            </w:rPr>
            <w:t>1</w:t>
          </w:r>
        </w:fldSimple>
      </w:p>
    </w:sdtContent>
  </w:sdt>
  <w:p w:rsidR="00B115BA" w:rsidRDefault="00B115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D0" w:rsidRDefault="006817D0" w:rsidP="00D846D4">
      <w:pPr>
        <w:spacing w:after="0" w:line="240" w:lineRule="auto"/>
      </w:pPr>
      <w:r>
        <w:separator/>
      </w:r>
    </w:p>
  </w:footnote>
  <w:footnote w:type="continuationSeparator" w:id="0">
    <w:p w:rsidR="006817D0" w:rsidRDefault="006817D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A" w:rsidRDefault="00B115BA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31A07"/>
    <w:rsid w:val="00032202"/>
    <w:rsid w:val="00032C13"/>
    <w:rsid w:val="00035F11"/>
    <w:rsid w:val="0004614D"/>
    <w:rsid w:val="00050491"/>
    <w:rsid w:val="0005052C"/>
    <w:rsid w:val="00060F6B"/>
    <w:rsid w:val="000668D2"/>
    <w:rsid w:val="00075CEC"/>
    <w:rsid w:val="00081EDC"/>
    <w:rsid w:val="00084F10"/>
    <w:rsid w:val="00091084"/>
    <w:rsid w:val="000937FE"/>
    <w:rsid w:val="000978B7"/>
    <w:rsid w:val="00097A4D"/>
    <w:rsid w:val="00097B51"/>
    <w:rsid w:val="000A2766"/>
    <w:rsid w:val="000A4EA3"/>
    <w:rsid w:val="000A772B"/>
    <w:rsid w:val="000B09CD"/>
    <w:rsid w:val="000B0B24"/>
    <w:rsid w:val="000B57E5"/>
    <w:rsid w:val="000B5D15"/>
    <w:rsid w:val="000B5D4D"/>
    <w:rsid w:val="000B64E4"/>
    <w:rsid w:val="000B6F2D"/>
    <w:rsid w:val="000C3554"/>
    <w:rsid w:val="000C6380"/>
    <w:rsid w:val="000C6CD7"/>
    <w:rsid w:val="000D1331"/>
    <w:rsid w:val="000D303C"/>
    <w:rsid w:val="000D4EEB"/>
    <w:rsid w:val="000D5101"/>
    <w:rsid w:val="000D6691"/>
    <w:rsid w:val="000E27F0"/>
    <w:rsid w:val="000F2A27"/>
    <w:rsid w:val="001026E9"/>
    <w:rsid w:val="00110953"/>
    <w:rsid w:val="00111D82"/>
    <w:rsid w:val="001138B9"/>
    <w:rsid w:val="00117BD3"/>
    <w:rsid w:val="00120E90"/>
    <w:rsid w:val="00124939"/>
    <w:rsid w:val="00125033"/>
    <w:rsid w:val="00125466"/>
    <w:rsid w:val="00127047"/>
    <w:rsid w:val="00130DC0"/>
    <w:rsid w:val="00131837"/>
    <w:rsid w:val="00132950"/>
    <w:rsid w:val="00132A8E"/>
    <w:rsid w:val="00133F7D"/>
    <w:rsid w:val="00143193"/>
    <w:rsid w:val="0014468C"/>
    <w:rsid w:val="001506FF"/>
    <w:rsid w:val="00151FF2"/>
    <w:rsid w:val="00152D21"/>
    <w:rsid w:val="00153094"/>
    <w:rsid w:val="00155389"/>
    <w:rsid w:val="001610C6"/>
    <w:rsid w:val="00166F1F"/>
    <w:rsid w:val="0018254B"/>
    <w:rsid w:val="00182AB9"/>
    <w:rsid w:val="00183D0D"/>
    <w:rsid w:val="00193E9F"/>
    <w:rsid w:val="00194B60"/>
    <w:rsid w:val="0019532C"/>
    <w:rsid w:val="001A0307"/>
    <w:rsid w:val="001A24D1"/>
    <w:rsid w:val="001A4768"/>
    <w:rsid w:val="001B0DC4"/>
    <w:rsid w:val="001B3750"/>
    <w:rsid w:val="001B5710"/>
    <w:rsid w:val="001B6181"/>
    <w:rsid w:val="001B6C9D"/>
    <w:rsid w:val="001B6D70"/>
    <w:rsid w:val="001C55BA"/>
    <w:rsid w:val="001C6CF9"/>
    <w:rsid w:val="001D5F64"/>
    <w:rsid w:val="001D75FE"/>
    <w:rsid w:val="001E4400"/>
    <w:rsid w:val="00201D65"/>
    <w:rsid w:val="00202669"/>
    <w:rsid w:val="00203C67"/>
    <w:rsid w:val="00205A66"/>
    <w:rsid w:val="002117CD"/>
    <w:rsid w:val="00214B39"/>
    <w:rsid w:val="00215F2C"/>
    <w:rsid w:val="0022079E"/>
    <w:rsid w:val="00221E09"/>
    <w:rsid w:val="00222E8A"/>
    <w:rsid w:val="00242853"/>
    <w:rsid w:val="0024358C"/>
    <w:rsid w:val="002473F9"/>
    <w:rsid w:val="00251E3C"/>
    <w:rsid w:val="002607DF"/>
    <w:rsid w:val="00260AB3"/>
    <w:rsid w:val="002619D0"/>
    <w:rsid w:val="00266265"/>
    <w:rsid w:val="002669A0"/>
    <w:rsid w:val="00271B8C"/>
    <w:rsid w:val="002721A9"/>
    <w:rsid w:val="00275170"/>
    <w:rsid w:val="00281124"/>
    <w:rsid w:val="0028240F"/>
    <w:rsid w:val="00283383"/>
    <w:rsid w:val="00290560"/>
    <w:rsid w:val="00293D75"/>
    <w:rsid w:val="00295CF1"/>
    <w:rsid w:val="002A7277"/>
    <w:rsid w:val="002B41D8"/>
    <w:rsid w:val="002B5AE6"/>
    <w:rsid w:val="002C36B7"/>
    <w:rsid w:val="002C3CF2"/>
    <w:rsid w:val="002C41EC"/>
    <w:rsid w:val="002D01B6"/>
    <w:rsid w:val="002D2B08"/>
    <w:rsid w:val="002D2E79"/>
    <w:rsid w:val="002E209D"/>
    <w:rsid w:val="002E35B7"/>
    <w:rsid w:val="002F5F28"/>
    <w:rsid w:val="003065D7"/>
    <w:rsid w:val="00314F06"/>
    <w:rsid w:val="003245FA"/>
    <w:rsid w:val="00325D26"/>
    <w:rsid w:val="00326A37"/>
    <w:rsid w:val="0033749C"/>
    <w:rsid w:val="0034251C"/>
    <w:rsid w:val="00343D21"/>
    <w:rsid w:val="00345125"/>
    <w:rsid w:val="00350B75"/>
    <w:rsid w:val="00356FC2"/>
    <w:rsid w:val="00357B36"/>
    <w:rsid w:val="00364C41"/>
    <w:rsid w:val="00366675"/>
    <w:rsid w:val="003675AF"/>
    <w:rsid w:val="00372C2B"/>
    <w:rsid w:val="00372CF4"/>
    <w:rsid w:val="003737D1"/>
    <w:rsid w:val="003741F4"/>
    <w:rsid w:val="003773B2"/>
    <w:rsid w:val="00383F19"/>
    <w:rsid w:val="00384F45"/>
    <w:rsid w:val="00386E2C"/>
    <w:rsid w:val="003870B6"/>
    <w:rsid w:val="00390774"/>
    <w:rsid w:val="00393FB7"/>
    <w:rsid w:val="0039616C"/>
    <w:rsid w:val="00396234"/>
    <w:rsid w:val="003A0C69"/>
    <w:rsid w:val="003A1057"/>
    <w:rsid w:val="003A1EAA"/>
    <w:rsid w:val="003A796D"/>
    <w:rsid w:val="003C7879"/>
    <w:rsid w:val="003D1054"/>
    <w:rsid w:val="003D2355"/>
    <w:rsid w:val="003E6458"/>
    <w:rsid w:val="003E6B4A"/>
    <w:rsid w:val="003E76F7"/>
    <w:rsid w:val="003F052A"/>
    <w:rsid w:val="003F3497"/>
    <w:rsid w:val="003F4795"/>
    <w:rsid w:val="003F7322"/>
    <w:rsid w:val="004032B1"/>
    <w:rsid w:val="00406199"/>
    <w:rsid w:val="00412701"/>
    <w:rsid w:val="004130D4"/>
    <w:rsid w:val="0041385A"/>
    <w:rsid w:val="004149D4"/>
    <w:rsid w:val="00415476"/>
    <w:rsid w:val="00420C12"/>
    <w:rsid w:val="0042426A"/>
    <w:rsid w:val="004254D1"/>
    <w:rsid w:val="004306B7"/>
    <w:rsid w:val="004327F2"/>
    <w:rsid w:val="00433AE5"/>
    <w:rsid w:val="004430D2"/>
    <w:rsid w:val="0044486C"/>
    <w:rsid w:val="00455417"/>
    <w:rsid w:val="00461457"/>
    <w:rsid w:val="00462822"/>
    <w:rsid w:val="00466FEE"/>
    <w:rsid w:val="00467FB9"/>
    <w:rsid w:val="00473367"/>
    <w:rsid w:val="0047574A"/>
    <w:rsid w:val="00476C06"/>
    <w:rsid w:val="004772C9"/>
    <w:rsid w:val="004A2797"/>
    <w:rsid w:val="004A4385"/>
    <w:rsid w:val="004A5C3A"/>
    <w:rsid w:val="004B0D0A"/>
    <w:rsid w:val="004B2419"/>
    <w:rsid w:val="004B56E2"/>
    <w:rsid w:val="004C1B50"/>
    <w:rsid w:val="004C2DA4"/>
    <w:rsid w:val="004C4363"/>
    <w:rsid w:val="004C5F6D"/>
    <w:rsid w:val="004C5F71"/>
    <w:rsid w:val="004C6045"/>
    <w:rsid w:val="004C671C"/>
    <w:rsid w:val="004C773F"/>
    <w:rsid w:val="004D2AA4"/>
    <w:rsid w:val="004F1788"/>
    <w:rsid w:val="004F2F34"/>
    <w:rsid w:val="00501871"/>
    <w:rsid w:val="00504375"/>
    <w:rsid w:val="0051065A"/>
    <w:rsid w:val="0051121E"/>
    <w:rsid w:val="0051428B"/>
    <w:rsid w:val="00520474"/>
    <w:rsid w:val="00523898"/>
    <w:rsid w:val="00533B8B"/>
    <w:rsid w:val="005348E6"/>
    <w:rsid w:val="005404F8"/>
    <w:rsid w:val="00541359"/>
    <w:rsid w:val="0055308B"/>
    <w:rsid w:val="005542F7"/>
    <w:rsid w:val="00554769"/>
    <w:rsid w:val="00557280"/>
    <w:rsid w:val="00562F84"/>
    <w:rsid w:val="00580F8A"/>
    <w:rsid w:val="00582410"/>
    <w:rsid w:val="00582C79"/>
    <w:rsid w:val="00587B8C"/>
    <w:rsid w:val="00593939"/>
    <w:rsid w:val="00595F2F"/>
    <w:rsid w:val="005A11C4"/>
    <w:rsid w:val="005A2141"/>
    <w:rsid w:val="005A3895"/>
    <w:rsid w:val="005A51AF"/>
    <w:rsid w:val="005B15A3"/>
    <w:rsid w:val="005B1655"/>
    <w:rsid w:val="005B48FC"/>
    <w:rsid w:val="005B5EC3"/>
    <w:rsid w:val="005B63AB"/>
    <w:rsid w:val="005C21FB"/>
    <w:rsid w:val="005C733B"/>
    <w:rsid w:val="005D77B6"/>
    <w:rsid w:val="005E53B3"/>
    <w:rsid w:val="005E7835"/>
    <w:rsid w:val="005F0678"/>
    <w:rsid w:val="005F15B9"/>
    <w:rsid w:val="005F6746"/>
    <w:rsid w:val="005F7A6D"/>
    <w:rsid w:val="006106DD"/>
    <w:rsid w:val="00610C62"/>
    <w:rsid w:val="00612875"/>
    <w:rsid w:val="006151D9"/>
    <w:rsid w:val="0061661D"/>
    <w:rsid w:val="0061715C"/>
    <w:rsid w:val="00632B61"/>
    <w:rsid w:val="006572F0"/>
    <w:rsid w:val="0066318C"/>
    <w:rsid w:val="0066418C"/>
    <w:rsid w:val="0066443F"/>
    <w:rsid w:val="006817D0"/>
    <w:rsid w:val="00681E4B"/>
    <w:rsid w:val="00683270"/>
    <w:rsid w:val="006843DB"/>
    <w:rsid w:val="00687D5E"/>
    <w:rsid w:val="006942FE"/>
    <w:rsid w:val="0069515F"/>
    <w:rsid w:val="00696EF8"/>
    <w:rsid w:val="006A2E33"/>
    <w:rsid w:val="006A2F25"/>
    <w:rsid w:val="006A657C"/>
    <w:rsid w:val="006B01F3"/>
    <w:rsid w:val="006B259E"/>
    <w:rsid w:val="006B3C97"/>
    <w:rsid w:val="006B4851"/>
    <w:rsid w:val="006B513A"/>
    <w:rsid w:val="006B5499"/>
    <w:rsid w:val="006B623D"/>
    <w:rsid w:val="006B7F33"/>
    <w:rsid w:val="006C0A84"/>
    <w:rsid w:val="006C0B6A"/>
    <w:rsid w:val="006D4049"/>
    <w:rsid w:val="006E13B9"/>
    <w:rsid w:val="006E193A"/>
    <w:rsid w:val="006E2237"/>
    <w:rsid w:val="006F76F5"/>
    <w:rsid w:val="00710B76"/>
    <w:rsid w:val="00711616"/>
    <w:rsid w:val="007137ED"/>
    <w:rsid w:val="0071539B"/>
    <w:rsid w:val="00717D5D"/>
    <w:rsid w:val="00720511"/>
    <w:rsid w:val="0072108D"/>
    <w:rsid w:val="0074115F"/>
    <w:rsid w:val="00742E38"/>
    <w:rsid w:val="00756C59"/>
    <w:rsid w:val="00762BEC"/>
    <w:rsid w:val="00764CCD"/>
    <w:rsid w:val="007653FF"/>
    <w:rsid w:val="00770188"/>
    <w:rsid w:val="007720FB"/>
    <w:rsid w:val="0077253B"/>
    <w:rsid w:val="00791320"/>
    <w:rsid w:val="0079318C"/>
    <w:rsid w:val="00793CAF"/>
    <w:rsid w:val="007A0A3D"/>
    <w:rsid w:val="007A1705"/>
    <w:rsid w:val="007A5737"/>
    <w:rsid w:val="007B3554"/>
    <w:rsid w:val="007B4BC5"/>
    <w:rsid w:val="007B77DE"/>
    <w:rsid w:val="007C3DC1"/>
    <w:rsid w:val="007C48FC"/>
    <w:rsid w:val="007C53C0"/>
    <w:rsid w:val="007D05BF"/>
    <w:rsid w:val="007D079A"/>
    <w:rsid w:val="007D0BB8"/>
    <w:rsid w:val="007D1D5B"/>
    <w:rsid w:val="007D5CDB"/>
    <w:rsid w:val="007D7A44"/>
    <w:rsid w:val="007E042B"/>
    <w:rsid w:val="007F0E9F"/>
    <w:rsid w:val="007F1D6E"/>
    <w:rsid w:val="007F204D"/>
    <w:rsid w:val="007F3420"/>
    <w:rsid w:val="007F43D5"/>
    <w:rsid w:val="007F45FA"/>
    <w:rsid w:val="007F57F7"/>
    <w:rsid w:val="007F6A7A"/>
    <w:rsid w:val="008023AB"/>
    <w:rsid w:val="0080417E"/>
    <w:rsid w:val="0081719E"/>
    <w:rsid w:val="00817F3B"/>
    <w:rsid w:val="00820848"/>
    <w:rsid w:val="00822206"/>
    <w:rsid w:val="00822DAA"/>
    <w:rsid w:val="008266DA"/>
    <w:rsid w:val="00827B0D"/>
    <w:rsid w:val="008335B9"/>
    <w:rsid w:val="00841795"/>
    <w:rsid w:val="00844862"/>
    <w:rsid w:val="00845D34"/>
    <w:rsid w:val="00862A5A"/>
    <w:rsid w:val="008639DE"/>
    <w:rsid w:val="00867AC4"/>
    <w:rsid w:val="008818EF"/>
    <w:rsid w:val="0089068D"/>
    <w:rsid w:val="00890C99"/>
    <w:rsid w:val="00896765"/>
    <w:rsid w:val="008A1F8E"/>
    <w:rsid w:val="008B0446"/>
    <w:rsid w:val="008B2F79"/>
    <w:rsid w:val="008B414D"/>
    <w:rsid w:val="008B7C63"/>
    <w:rsid w:val="008C2134"/>
    <w:rsid w:val="008C6164"/>
    <w:rsid w:val="008D1DBB"/>
    <w:rsid w:val="008D5539"/>
    <w:rsid w:val="008E4960"/>
    <w:rsid w:val="008E53E8"/>
    <w:rsid w:val="008F0BA9"/>
    <w:rsid w:val="008F161B"/>
    <w:rsid w:val="008F701D"/>
    <w:rsid w:val="0090376E"/>
    <w:rsid w:val="00914985"/>
    <w:rsid w:val="00917AB2"/>
    <w:rsid w:val="009205E0"/>
    <w:rsid w:val="0092079C"/>
    <w:rsid w:val="00920AC3"/>
    <w:rsid w:val="00922F54"/>
    <w:rsid w:val="00926941"/>
    <w:rsid w:val="00927602"/>
    <w:rsid w:val="00927791"/>
    <w:rsid w:val="00930DFE"/>
    <w:rsid w:val="009362D3"/>
    <w:rsid w:val="00946522"/>
    <w:rsid w:val="00956D4F"/>
    <w:rsid w:val="009578FF"/>
    <w:rsid w:val="00960358"/>
    <w:rsid w:val="0096325A"/>
    <w:rsid w:val="0096534B"/>
    <w:rsid w:val="00965BB8"/>
    <w:rsid w:val="009668AB"/>
    <w:rsid w:val="009749EF"/>
    <w:rsid w:val="009800C9"/>
    <w:rsid w:val="00985A46"/>
    <w:rsid w:val="00985E77"/>
    <w:rsid w:val="00992A47"/>
    <w:rsid w:val="009A1471"/>
    <w:rsid w:val="009A295A"/>
    <w:rsid w:val="009A2DC8"/>
    <w:rsid w:val="009A560F"/>
    <w:rsid w:val="009B17C3"/>
    <w:rsid w:val="009B19F2"/>
    <w:rsid w:val="009B279F"/>
    <w:rsid w:val="009B4C03"/>
    <w:rsid w:val="009B78CD"/>
    <w:rsid w:val="009C222F"/>
    <w:rsid w:val="009C379C"/>
    <w:rsid w:val="009C757E"/>
    <w:rsid w:val="009C7819"/>
    <w:rsid w:val="009C7F1D"/>
    <w:rsid w:val="009D11C3"/>
    <w:rsid w:val="009D50B9"/>
    <w:rsid w:val="009E1AE2"/>
    <w:rsid w:val="009E45C8"/>
    <w:rsid w:val="009E630C"/>
    <w:rsid w:val="009F1E7A"/>
    <w:rsid w:val="009F233C"/>
    <w:rsid w:val="009F5FE1"/>
    <w:rsid w:val="009F72D3"/>
    <w:rsid w:val="00A04B6A"/>
    <w:rsid w:val="00A10FC0"/>
    <w:rsid w:val="00A128D6"/>
    <w:rsid w:val="00A145E2"/>
    <w:rsid w:val="00A16636"/>
    <w:rsid w:val="00A204E4"/>
    <w:rsid w:val="00A259EB"/>
    <w:rsid w:val="00A31D75"/>
    <w:rsid w:val="00A323D7"/>
    <w:rsid w:val="00A33EF6"/>
    <w:rsid w:val="00A34544"/>
    <w:rsid w:val="00A3548D"/>
    <w:rsid w:val="00A3751D"/>
    <w:rsid w:val="00A4356E"/>
    <w:rsid w:val="00A52591"/>
    <w:rsid w:val="00A55002"/>
    <w:rsid w:val="00A63164"/>
    <w:rsid w:val="00A71BAD"/>
    <w:rsid w:val="00A733CE"/>
    <w:rsid w:val="00A73F1B"/>
    <w:rsid w:val="00A746C3"/>
    <w:rsid w:val="00A76B56"/>
    <w:rsid w:val="00A80F50"/>
    <w:rsid w:val="00A91471"/>
    <w:rsid w:val="00A93C70"/>
    <w:rsid w:val="00A9437C"/>
    <w:rsid w:val="00A968AE"/>
    <w:rsid w:val="00AA1390"/>
    <w:rsid w:val="00AA4339"/>
    <w:rsid w:val="00AA6A64"/>
    <w:rsid w:val="00AC0575"/>
    <w:rsid w:val="00AC2517"/>
    <w:rsid w:val="00AC419F"/>
    <w:rsid w:val="00AC4EE1"/>
    <w:rsid w:val="00AC5AF4"/>
    <w:rsid w:val="00AD5C9F"/>
    <w:rsid w:val="00AE2B64"/>
    <w:rsid w:val="00AE348E"/>
    <w:rsid w:val="00AE64D8"/>
    <w:rsid w:val="00AE7075"/>
    <w:rsid w:val="00AF2E8E"/>
    <w:rsid w:val="00B0300F"/>
    <w:rsid w:val="00B05799"/>
    <w:rsid w:val="00B07C1C"/>
    <w:rsid w:val="00B115BA"/>
    <w:rsid w:val="00B13EF9"/>
    <w:rsid w:val="00B17A3D"/>
    <w:rsid w:val="00B25387"/>
    <w:rsid w:val="00B2625E"/>
    <w:rsid w:val="00B27E26"/>
    <w:rsid w:val="00B3078D"/>
    <w:rsid w:val="00B46C69"/>
    <w:rsid w:val="00B61540"/>
    <w:rsid w:val="00B6473A"/>
    <w:rsid w:val="00B663FF"/>
    <w:rsid w:val="00B677B7"/>
    <w:rsid w:val="00B72C0D"/>
    <w:rsid w:val="00B76E51"/>
    <w:rsid w:val="00B829F8"/>
    <w:rsid w:val="00B83E35"/>
    <w:rsid w:val="00B85EBE"/>
    <w:rsid w:val="00B904C8"/>
    <w:rsid w:val="00B944D0"/>
    <w:rsid w:val="00B949F8"/>
    <w:rsid w:val="00B96D79"/>
    <w:rsid w:val="00BA513E"/>
    <w:rsid w:val="00BB044E"/>
    <w:rsid w:val="00BB159F"/>
    <w:rsid w:val="00BB1E9C"/>
    <w:rsid w:val="00BB407A"/>
    <w:rsid w:val="00BC2E20"/>
    <w:rsid w:val="00BC3113"/>
    <w:rsid w:val="00BC6AE9"/>
    <w:rsid w:val="00BC75E6"/>
    <w:rsid w:val="00BD17E0"/>
    <w:rsid w:val="00BD2D94"/>
    <w:rsid w:val="00BE358D"/>
    <w:rsid w:val="00BE44B9"/>
    <w:rsid w:val="00BF2165"/>
    <w:rsid w:val="00BF4345"/>
    <w:rsid w:val="00BF488D"/>
    <w:rsid w:val="00BF7055"/>
    <w:rsid w:val="00C0010E"/>
    <w:rsid w:val="00C0162E"/>
    <w:rsid w:val="00C02A1F"/>
    <w:rsid w:val="00C02E11"/>
    <w:rsid w:val="00C03D24"/>
    <w:rsid w:val="00C04725"/>
    <w:rsid w:val="00C06E1D"/>
    <w:rsid w:val="00C0722B"/>
    <w:rsid w:val="00C07C49"/>
    <w:rsid w:val="00C13DFB"/>
    <w:rsid w:val="00C16369"/>
    <w:rsid w:val="00C232B5"/>
    <w:rsid w:val="00C241E4"/>
    <w:rsid w:val="00C2540D"/>
    <w:rsid w:val="00C270EB"/>
    <w:rsid w:val="00C33106"/>
    <w:rsid w:val="00C4176A"/>
    <w:rsid w:val="00C45518"/>
    <w:rsid w:val="00C4717E"/>
    <w:rsid w:val="00C50136"/>
    <w:rsid w:val="00C53B42"/>
    <w:rsid w:val="00C559DB"/>
    <w:rsid w:val="00C55A7C"/>
    <w:rsid w:val="00C6221F"/>
    <w:rsid w:val="00C6450D"/>
    <w:rsid w:val="00C6459A"/>
    <w:rsid w:val="00C72CC4"/>
    <w:rsid w:val="00C8124F"/>
    <w:rsid w:val="00C8176E"/>
    <w:rsid w:val="00C87BD6"/>
    <w:rsid w:val="00C9219B"/>
    <w:rsid w:val="00C94B6E"/>
    <w:rsid w:val="00C96010"/>
    <w:rsid w:val="00C9744C"/>
    <w:rsid w:val="00CA5A7B"/>
    <w:rsid w:val="00CA77A3"/>
    <w:rsid w:val="00CB1971"/>
    <w:rsid w:val="00CB1D01"/>
    <w:rsid w:val="00CB554A"/>
    <w:rsid w:val="00CB7B50"/>
    <w:rsid w:val="00CC265D"/>
    <w:rsid w:val="00CC4184"/>
    <w:rsid w:val="00CC691B"/>
    <w:rsid w:val="00CD19B6"/>
    <w:rsid w:val="00CD6250"/>
    <w:rsid w:val="00CD7E53"/>
    <w:rsid w:val="00CE1445"/>
    <w:rsid w:val="00CE1D36"/>
    <w:rsid w:val="00CF02B3"/>
    <w:rsid w:val="00CF3B64"/>
    <w:rsid w:val="00CF6A5C"/>
    <w:rsid w:val="00D068E0"/>
    <w:rsid w:val="00D075F0"/>
    <w:rsid w:val="00D17E70"/>
    <w:rsid w:val="00D211F2"/>
    <w:rsid w:val="00D23079"/>
    <w:rsid w:val="00D2403F"/>
    <w:rsid w:val="00D24F52"/>
    <w:rsid w:val="00D25195"/>
    <w:rsid w:val="00D26F8A"/>
    <w:rsid w:val="00D314D8"/>
    <w:rsid w:val="00D3531E"/>
    <w:rsid w:val="00D353E4"/>
    <w:rsid w:val="00D358CA"/>
    <w:rsid w:val="00D52175"/>
    <w:rsid w:val="00D55305"/>
    <w:rsid w:val="00D57437"/>
    <w:rsid w:val="00D71A15"/>
    <w:rsid w:val="00D71FEF"/>
    <w:rsid w:val="00D77576"/>
    <w:rsid w:val="00D81AAA"/>
    <w:rsid w:val="00D846D4"/>
    <w:rsid w:val="00D919F1"/>
    <w:rsid w:val="00D9691A"/>
    <w:rsid w:val="00D97494"/>
    <w:rsid w:val="00D97A7F"/>
    <w:rsid w:val="00D97E21"/>
    <w:rsid w:val="00DA57D4"/>
    <w:rsid w:val="00DB12B9"/>
    <w:rsid w:val="00DC346C"/>
    <w:rsid w:val="00DC4127"/>
    <w:rsid w:val="00DE264F"/>
    <w:rsid w:val="00DE6708"/>
    <w:rsid w:val="00DE68BE"/>
    <w:rsid w:val="00DE7190"/>
    <w:rsid w:val="00DF464A"/>
    <w:rsid w:val="00E14CBC"/>
    <w:rsid w:val="00E158B5"/>
    <w:rsid w:val="00E17679"/>
    <w:rsid w:val="00E43B5E"/>
    <w:rsid w:val="00E55F90"/>
    <w:rsid w:val="00E62027"/>
    <w:rsid w:val="00E624AC"/>
    <w:rsid w:val="00E66FFA"/>
    <w:rsid w:val="00E70A74"/>
    <w:rsid w:val="00E71385"/>
    <w:rsid w:val="00E856D9"/>
    <w:rsid w:val="00E93191"/>
    <w:rsid w:val="00E966F0"/>
    <w:rsid w:val="00E97BFF"/>
    <w:rsid w:val="00EA04D8"/>
    <w:rsid w:val="00EA55E1"/>
    <w:rsid w:val="00EB0206"/>
    <w:rsid w:val="00EB13B7"/>
    <w:rsid w:val="00EB3BA8"/>
    <w:rsid w:val="00EC4B84"/>
    <w:rsid w:val="00ED1478"/>
    <w:rsid w:val="00ED5D61"/>
    <w:rsid w:val="00ED73D4"/>
    <w:rsid w:val="00EE2FF2"/>
    <w:rsid w:val="00EE67FB"/>
    <w:rsid w:val="00EE7F4A"/>
    <w:rsid w:val="00EF0A8F"/>
    <w:rsid w:val="00EF2BCC"/>
    <w:rsid w:val="00EF6323"/>
    <w:rsid w:val="00F01573"/>
    <w:rsid w:val="00F01846"/>
    <w:rsid w:val="00F07E4B"/>
    <w:rsid w:val="00F1321D"/>
    <w:rsid w:val="00F15AD8"/>
    <w:rsid w:val="00F22814"/>
    <w:rsid w:val="00F34F5E"/>
    <w:rsid w:val="00F41312"/>
    <w:rsid w:val="00F42F0C"/>
    <w:rsid w:val="00F50C4B"/>
    <w:rsid w:val="00F522EC"/>
    <w:rsid w:val="00F60327"/>
    <w:rsid w:val="00F605CC"/>
    <w:rsid w:val="00F63574"/>
    <w:rsid w:val="00F65875"/>
    <w:rsid w:val="00F66F5A"/>
    <w:rsid w:val="00FB2B31"/>
    <w:rsid w:val="00FC6FDA"/>
    <w:rsid w:val="00FD2AFF"/>
    <w:rsid w:val="00FD6483"/>
    <w:rsid w:val="00FD6A63"/>
    <w:rsid w:val="00FD78DE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2473E-2"/>
          <c:w val="0.82407407407407995"/>
          <c:h val="0.787698412698424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175</c:v>
                </c:pt>
                <c:pt idx="1">
                  <c:v>314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39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848"/>
          <c:w val="0.82407407407410183"/>
          <c:h val="0.78769841269847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5.8494459025955091E-2"/>
                  <c:y val="-0.15000156230471187"/>
                </c:manualLayout>
              </c:layout>
              <c:tx>
                <c:rich>
                  <a:bodyPr/>
                  <a:lstStyle/>
                  <a:p>
                    <a:r>
                      <a:rPr lang="en-US" sz="1400" b="0"/>
                      <a:t>Civil
46%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3.7715077282006793E-2"/>
                  <c:y val="-7.3147106611673538E-4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Mercantil
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2.2063374890638671E-2"/>
                  <c:y val="3.0671166104237011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Familiar
49%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Hoja1!$A$2:$A$5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226</c:v>
                </c:pt>
                <c:pt idx="1">
                  <c:v>38</c:v>
                </c:pt>
                <c:pt idx="2">
                  <c:v>226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16666666666741"/>
          <c:y val="0.10615079365079365"/>
          <c:w val="0.82407407407408129"/>
          <c:h val="0.78769841269842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1.9142607174103241E-2"/>
                  <c:y val="-1.9049181352331131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Civil
37%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2.8455818022747256E-2"/>
                  <c:y val="-8.0096550431196206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Mercantil
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4.5211614173228533E-2"/>
                  <c:y val="-5.0431196100487437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Familiar
61%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Hoja1!$A$2:$A$5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 formatCode="#,##0.00">
                  <c:v>1882283</c:v>
                </c:pt>
                <c:pt idx="1">
                  <c:v>1396339</c:v>
                </c:pt>
                <c:pt idx="2" formatCode="#,##0.00">
                  <c:v>488782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369"/>
          <c:y val="0.13673286122253586"/>
          <c:w val="0.81621615935281056"/>
          <c:h val="0.763889286566483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86</c:v>
                </c:pt>
                <c:pt idx="1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59489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175</c:v>
                </c:pt>
                <c:pt idx="1">
                  <c:v>314</c:v>
                </c:pt>
                <c:pt idx="2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6154427187501921"/>
                  <c:y val="0.1827816533268175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631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del orden Familiar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22</c:v>
                </c:pt>
                <c:pt idx="1">
                  <c:v>80</c:v>
                </c:pt>
                <c:pt idx="2">
                  <c:v>69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09883"/>
          <c:h val="0.787698412698463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165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183"/>
          <c:h val="0.78769841269847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52</c:v>
                </c:pt>
                <c:pt idx="1">
                  <c:v>9</c:v>
                </c:pt>
                <c:pt idx="2">
                  <c:v>104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0744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27213591295834078"/>
                  <c:y val="-0.2837837837837838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3892080477681458"/>
                  <c:y val="-8.0266723416329722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2.7932760594067776E-3"/>
                  <c:y val="-0.13689919841101031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4.4535580162812401E-2"/>
                  <c:y val="0.1025659360147549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2.5794411425367012E-3"/>
                  <c:y val="-0.134222600553309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0974756364109632"/>
                  <c:y val="7.4026029395422174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4.1453491366535346E-2"/>
                  <c:y val="0.1134251768457059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0.15417751626012619"/>
                  <c:y val="0.52923397031102859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9.7639633924919197E-3"/>
                  <c:y val="-5.253373058097469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Hoja1!$A$2:$A$16</c:f>
              <c:strCache>
                <c:ptCount val="15"/>
                <c:pt idx="0">
                  <c:v>Contrato de Mutuo</c:v>
                </c:pt>
                <c:pt idx="1">
                  <c:v>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8">
                  <c:v>Garantia de servicio</c:v>
                </c:pt>
                <c:pt idx="9">
                  <c:v>Reparacion de Daños</c:v>
                </c:pt>
                <c:pt idx="10">
                  <c:v>Servidumbre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Posesión</c:v>
                </c:pt>
                <c:pt idx="14">
                  <c:v>Otros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22</c:v>
                </c:pt>
                <c:pt idx="1">
                  <c:v>88</c:v>
                </c:pt>
                <c:pt idx="2">
                  <c:v>100</c:v>
                </c:pt>
                <c:pt idx="3">
                  <c:v>7</c:v>
                </c:pt>
                <c:pt idx="4">
                  <c:v>1</c:v>
                </c:pt>
                <c:pt idx="5">
                  <c:v>14</c:v>
                </c:pt>
                <c:pt idx="6">
                  <c:v>32</c:v>
                </c:pt>
                <c:pt idx="8">
                  <c:v>5</c:v>
                </c:pt>
                <c:pt idx="9">
                  <c:v>19</c:v>
                </c:pt>
                <c:pt idx="10">
                  <c:v>1</c:v>
                </c:pt>
                <c:pt idx="11">
                  <c:v>8</c:v>
                </c:pt>
                <c:pt idx="12">
                  <c:v>7</c:v>
                </c:pt>
                <c:pt idx="13">
                  <c:v>1</c:v>
                </c:pt>
                <c:pt idx="14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307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842"/>
          <c:w val="0.8240740740741016"/>
          <c:h val="0.78769841269846974"/>
        </c:manualLayout>
      </c:layout>
      <c:pie3DChart>
        <c:varyColors val="1"/>
        <c:ser>
          <c:idx val="0"/>
          <c:order val="0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Hoja1!$A$1:$A$3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Hoja1!$B$1:$B$3</c:f>
              <c:numCache>
                <c:formatCode>General</c:formatCode>
                <c:ptCount val="3"/>
                <c:pt idx="0">
                  <c:v>22</c:v>
                </c:pt>
                <c:pt idx="1">
                  <c:v>58</c:v>
                </c:pt>
                <c:pt idx="2">
                  <c:v>227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0766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2992944183203131"/>
                  <c:y val="3.052621125062069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1297534830913079E-2"/>
                  <c:y val="-8.118550046109100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1">
                  <c:v>Titulos de Credito</c:v>
                </c:pt>
                <c:pt idx="2">
                  <c:v>Otros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1">
                  <c:v>34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29A8-461A-43A3-8051-44717BB7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2016-10-12T17:34:00Z</cp:lastPrinted>
  <dcterms:created xsi:type="dcterms:W3CDTF">2016-10-12T17:34:00Z</dcterms:created>
  <dcterms:modified xsi:type="dcterms:W3CDTF">2016-10-12T17:35:00Z</dcterms:modified>
</cp:coreProperties>
</file>