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EE1541" w:rsidRDefault="00C55A7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3D49D6" w:rsidRPr="003D49D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645EF1" w:rsidRDefault="00645EF1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1B3A2B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JULIO </w:t>
      </w:r>
      <w:r w:rsidR="005D10E4"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b/>
          <w:sz w:val="24"/>
          <w:szCs w:val="24"/>
          <w:lang w:val="es-ES_tradnl"/>
        </w:rPr>
        <w:t>SEPTIEMBRE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>7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EE1541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tercer trimestre del año, de los meses de </w:t>
      </w:r>
      <w:r w:rsidRPr="004658D4">
        <w:rPr>
          <w:rFonts w:ascii="Arial" w:hAnsi="Arial" w:cs="Arial"/>
          <w:b/>
          <w:sz w:val="24"/>
          <w:szCs w:val="24"/>
          <w:lang w:val="es-ES_tradnl"/>
        </w:rPr>
        <w:t>julio a 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eptiembre </w:t>
      </w:r>
      <w:r>
        <w:rPr>
          <w:rFonts w:ascii="Arial" w:hAnsi="Arial" w:cs="Arial"/>
          <w:sz w:val="24"/>
          <w:szCs w:val="24"/>
          <w:lang w:val="es-ES_tradnl"/>
        </w:rPr>
        <w:t>del año 2017</w:t>
      </w:r>
      <w:r w:rsidRPr="000B5D15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se recibieron un total de </w:t>
      </w:r>
      <w:r w:rsidR="00F77731">
        <w:rPr>
          <w:rFonts w:ascii="Arial" w:hAnsi="Arial" w:cs="Arial"/>
          <w:b/>
          <w:sz w:val="24"/>
          <w:szCs w:val="24"/>
          <w:lang w:val="es-ES_tradnl"/>
        </w:rPr>
        <w:t>630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3D5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ORIENTACIÓN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F0272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F77731"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631CE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3D5223"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3D522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3D522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3D5223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630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3D5223">
        <w:rPr>
          <w:rFonts w:ascii="Arial" w:hAnsi="Arial" w:cs="Arial"/>
          <w:b/>
          <w:sz w:val="24"/>
          <w:szCs w:val="24"/>
          <w:lang w:val="es-ES_tradnl"/>
        </w:rPr>
        <w:t>630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3D5223">
        <w:rPr>
          <w:rFonts w:ascii="Arial" w:hAnsi="Arial" w:cs="Arial"/>
          <w:b/>
          <w:sz w:val="24"/>
          <w:szCs w:val="24"/>
          <w:lang w:val="es-ES_tradnl"/>
        </w:rPr>
        <w:t>221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9F0272">
        <w:rPr>
          <w:rFonts w:ascii="Arial" w:hAnsi="Arial" w:cs="Arial"/>
          <w:b/>
          <w:sz w:val="24"/>
          <w:szCs w:val="24"/>
          <w:lang w:val="es-ES_tradnl"/>
        </w:rPr>
        <w:t>3</w:t>
      </w:r>
      <w:r w:rsidR="003D5223">
        <w:rPr>
          <w:rFonts w:ascii="Arial" w:hAnsi="Arial" w:cs="Arial"/>
          <w:b/>
          <w:sz w:val="24"/>
          <w:szCs w:val="24"/>
          <w:lang w:val="es-ES_tradnl"/>
        </w:rPr>
        <w:t>60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3D5223">
        <w:rPr>
          <w:rFonts w:ascii="Arial" w:hAnsi="Arial" w:cs="Arial"/>
          <w:b/>
          <w:sz w:val="24"/>
          <w:szCs w:val="24"/>
          <w:lang w:val="es-ES_tradnl"/>
        </w:rPr>
        <w:t>23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631CE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3D5223"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631CE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3D5223"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3D522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631CE3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 w:rsidR="003D522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07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5223">
        <w:rPr>
          <w:rFonts w:ascii="Arial" w:hAnsi="Arial" w:cs="Arial"/>
          <w:b/>
          <w:sz w:val="24"/>
          <w:szCs w:val="24"/>
          <w:lang w:val="es-ES_tradnl"/>
        </w:rPr>
        <w:t>221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3D522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3D522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3D522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120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3D522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2429CB" w:rsidRPr="00D31FEC" w:rsidTr="00FA2919">
        <w:tc>
          <w:tcPr>
            <w:tcW w:w="6662" w:type="dxa"/>
          </w:tcPr>
          <w:p w:rsidR="002429CB" w:rsidRDefault="002429CB" w:rsidP="003D5223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7C59FE">
              <w:rPr>
                <w:sz w:val="24"/>
                <w:szCs w:val="24"/>
                <w:lang w:val="es-ES_tradnl"/>
              </w:rPr>
              <w:t>Modificación de convenio.</w:t>
            </w:r>
          </w:p>
        </w:tc>
        <w:tc>
          <w:tcPr>
            <w:tcW w:w="2410" w:type="dxa"/>
          </w:tcPr>
          <w:p w:rsidR="002429CB" w:rsidRDefault="003D522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3D5223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221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0795" cy="4189863"/>
            <wp:effectExtent l="19050" t="0" r="13155" b="1137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D5223" w:rsidRDefault="003D5223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3D5223">
        <w:rPr>
          <w:rFonts w:ascii="Arial" w:hAnsi="Arial" w:cs="Arial"/>
          <w:b/>
          <w:sz w:val="24"/>
          <w:szCs w:val="24"/>
          <w:lang w:val="es-ES_tradnl"/>
        </w:rPr>
        <w:t>221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5223">
        <w:rPr>
          <w:rFonts w:ascii="Arial" w:hAnsi="Arial" w:cs="Arial"/>
          <w:b/>
          <w:sz w:val="24"/>
          <w:szCs w:val="24"/>
          <w:lang w:val="es-ES_tradnl"/>
        </w:rPr>
        <w:t>210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5C5DFC">
        <w:rPr>
          <w:rFonts w:ascii="Arial" w:hAnsi="Arial" w:cs="Arial"/>
          <w:b/>
          <w:sz w:val="24"/>
          <w:szCs w:val="24"/>
          <w:lang w:val="es-ES_tradnl"/>
        </w:rPr>
        <w:t>1</w:t>
      </w:r>
      <w:r w:rsidR="003D5223">
        <w:rPr>
          <w:rFonts w:ascii="Arial" w:hAnsi="Arial" w:cs="Arial"/>
          <w:b/>
          <w:sz w:val="24"/>
          <w:szCs w:val="24"/>
          <w:lang w:val="es-ES_tradnl"/>
        </w:rPr>
        <w:t>1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5C5DFC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3D5223"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631CE3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3D5223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5C5DFC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3D522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E51B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E51B5D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3D5223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77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631CE3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3D5223">
              <w:rPr>
                <w:rFonts w:ascii="Arial" w:hAnsi="Arial" w:cs="Arial"/>
                <w:sz w:val="24"/>
                <w:szCs w:val="24"/>
                <w:lang w:val="es-ES_tradnl"/>
              </w:rPr>
              <w:t>03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3D5223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180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3D5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E51B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E51B5D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7318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3D5223">
        <w:rPr>
          <w:rFonts w:ascii="Arial" w:hAnsi="Arial" w:cs="Arial"/>
          <w:b/>
          <w:sz w:val="24"/>
          <w:szCs w:val="24"/>
          <w:lang w:val="es-ES_tradnl"/>
        </w:rPr>
        <w:t>360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119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94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3D52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11F67" w:rsidRPr="00DF5F8E" w:rsidTr="005D01C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3D522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7C59FE">
              <w:rPr>
                <w:sz w:val="24"/>
                <w:szCs w:val="24"/>
                <w:lang w:val="es-ES_tradnl"/>
              </w:rPr>
              <w:t>Cita hermano  a la hermana para rendición de cuentas de pensión de la mamá, problema con la caída del agua del local de al</w:t>
            </w:r>
            <w:r w:rsidR="00EE1541">
              <w:rPr>
                <w:sz w:val="24"/>
                <w:szCs w:val="24"/>
                <w:lang w:val="es-ES_tradnl"/>
              </w:rPr>
              <w:t xml:space="preserve"> l</w:t>
            </w:r>
            <w:r w:rsidR="007C59FE">
              <w:rPr>
                <w:sz w:val="24"/>
                <w:szCs w:val="24"/>
                <w:lang w:val="es-ES_tradnl"/>
              </w:rPr>
              <w:t>ado. Solicita devolución de artículos personales a la persona con la que vivía, conflicto derivado de una disolución de una sociedad. Pago de factura por concepto de terapias físicas, soli</w:t>
            </w:r>
            <w:r w:rsidR="00EE1541">
              <w:rPr>
                <w:sz w:val="24"/>
                <w:szCs w:val="24"/>
                <w:lang w:val="es-ES_tradnl"/>
              </w:rPr>
              <w:t>ci</w:t>
            </w:r>
            <w:r w:rsidR="007C59FE">
              <w:rPr>
                <w:sz w:val="24"/>
                <w:szCs w:val="24"/>
                <w:lang w:val="es-ES_tradnl"/>
              </w:rPr>
              <w:t>ta el regreso de un bien mueble, solicita se le active la tarjeta de acceso al fraccionamiento, disolución de sociedad conyugal.</w:t>
            </w:r>
          </w:p>
        </w:tc>
        <w:tc>
          <w:tcPr>
            <w:tcW w:w="1357" w:type="dxa"/>
            <w:shd w:val="clear" w:color="auto" w:fill="FFFFFF" w:themeFill="background1"/>
            <w:vAlign w:val="center"/>
            <w:hideMark/>
          </w:tcPr>
          <w:p w:rsidR="00A11F67" w:rsidRPr="00A26775" w:rsidRDefault="005D01C9" w:rsidP="005D01C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9609F6" w:rsidP="005C5DFC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3D522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079811" cy="2483892"/>
            <wp:effectExtent l="19050" t="0" r="25589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5223" w:rsidRDefault="003D5223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D5223" w:rsidRDefault="003D5223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BB0063" w:rsidRDefault="00BB0063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5223">
        <w:rPr>
          <w:rFonts w:ascii="Arial" w:hAnsi="Arial" w:cs="Arial"/>
          <w:b/>
          <w:sz w:val="24"/>
          <w:szCs w:val="24"/>
          <w:lang w:val="es-ES_tradnl"/>
        </w:rPr>
        <w:t>360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675F5">
        <w:rPr>
          <w:rFonts w:ascii="Arial" w:hAnsi="Arial" w:cs="Arial"/>
          <w:b/>
          <w:sz w:val="24"/>
          <w:szCs w:val="24"/>
          <w:lang w:val="es-ES_tradnl"/>
        </w:rPr>
        <w:t>342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675F5">
        <w:rPr>
          <w:rFonts w:ascii="Arial" w:hAnsi="Arial" w:cs="Arial"/>
          <w:b/>
          <w:sz w:val="24"/>
          <w:szCs w:val="24"/>
          <w:lang w:val="es-ES_tradnl"/>
        </w:rPr>
        <w:t>18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3B7873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3B7873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3D5223">
              <w:rPr>
                <w:rFonts w:ascii="Arial" w:hAnsi="Arial" w:cs="Arial"/>
                <w:sz w:val="24"/>
                <w:szCs w:val="24"/>
                <w:lang w:val="es-ES_tradnl"/>
              </w:rPr>
              <w:t>42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3D5223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3B7873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3D522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3D49D6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CE2E81" w:rsidRDefault="00CE2E81" w:rsidP="0042667E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3675F5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78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3B7873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3675F5">
              <w:rPr>
                <w:rFonts w:ascii="Arial" w:hAnsi="Arial" w:cs="Arial"/>
                <w:sz w:val="24"/>
                <w:szCs w:val="24"/>
                <w:lang w:val="es-ES_tradnl"/>
              </w:rPr>
              <w:t>69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3B7873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3675F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47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D628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3675F5"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675F5">
        <w:rPr>
          <w:rFonts w:ascii="Arial" w:hAnsi="Arial" w:cs="Arial"/>
          <w:b/>
          <w:sz w:val="24"/>
          <w:szCs w:val="24"/>
          <w:lang w:val="es-ES_tradnl"/>
        </w:rPr>
        <w:t>26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7C59FE" w:rsidRDefault="003675F5" w:rsidP="00BE37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7C59F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22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Pr="007C59FE" w:rsidRDefault="003675F5" w:rsidP="00BE37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7C59F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3675F5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3B787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3B7873">
              <w:rPr>
                <w:sz w:val="20"/>
                <w:szCs w:val="20"/>
                <w:lang w:val="es-ES_tradnl"/>
              </w:rPr>
              <w:t xml:space="preserve"> </w:t>
            </w:r>
            <w:r w:rsidR="007C59FE">
              <w:rPr>
                <w:sz w:val="24"/>
                <w:szCs w:val="24"/>
                <w:lang w:val="es-ES_tradnl"/>
              </w:rPr>
              <w:t>Responderá deuda como aval, quiere llegar a un arreglo sobre un adeudo. 2 Contrato de habilitación o avío.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Pr="007C59FE" w:rsidRDefault="003675F5" w:rsidP="00BE37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7C59F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4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675F5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675F5">
        <w:rPr>
          <w:rFonts w:ascii="Arial" w:hAnsi="Arial" w:cs="Arial"/>
          <w:b/>
          <w:sz w:val="24"/>
          <w:szCs w:val="24"/>
          <w:lang w:val="es-ES_tradnl"/>
        </w:rPr>
        <w:t>26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675F5">
        <w:rPr>
          <w:rFonts w:ascii="Arial" w:hAnsi="Arial" w:cs="Arial"/>
          <w:b/>
          <w:sz w:val="24"/>
          <w:szCs w:val="24"/>
          <w:lang w:val="es-ES_tradnl"/>
        </w:rPr>
        <w:t>26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B57E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3675F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9B57E8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B0063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3675F5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697048" cy="2442949"/>
            <wp:effectExtent l="19050" t="0" r="27352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3675F5" w:rsidRDefault="003675F5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>tramitadas en el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BB0063" w:rsidRDefault="003675F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BB0063" w:rsidRDefault="005D01C9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3675F5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3675F5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D628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3675F5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D5D77" w:rsidRDefault="000D5D7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5D01C9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3675F5">
              <w:rPr>
                <w:rFonts w:ascii="Arial" w:hAnsi="Arial" w:cs="Arial"/>
                <w:sz w:val="24"/>
                <w:szCs w:val="24"/>
                <w:lang w:val="es-ES_tradnl"/>
              </w:rPr>
              <w:t>06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3675F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288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3675F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3675F5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508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E2E81" w:rsidRPr="00282ED6" w:rsidRDefault="00814804" w:rsidP="0073186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ECONOMICO</w:t>
      </w:r>
      <w:proofErr w:type="spellEnd"/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3675F5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675F5">
              <w:rPr>
                <w:rFonts w:ascii="Arial" w:hAnsi="Arial" w:cs="Arial"/>
                <w:sz w:val="24"/>
                <w:szCs w:val="24"/>
                <w:lang w:val="es-ES_tradnl"/>
              </w:rPr>
              <w:t>3,956,228</w:t>
            </w:r>
            <w:r w:rsidR="000A733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5D01C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675F5">
              <w:rPr>
                <w:rFonts w:ascii="Arial" w:hAnsi="Arial" w:cs="Arial"/>
                <w:sz w:val="24"/>
                <w:szCs w:val="24"/>
                <w:lang w:val="es-ES_tradnl"/>
              </w:rPr>
              <w:t>132,220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5D01C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675F5">
              <w:rPr>
                <w:rFonts w:ascii="Arial" w:hAnsi="Arial" w:cs="Arial"/>
                <w:sz w:val="24"/>
                <w:szCs w:val="24"/>
                <w:lang w:val="es-ES_tradnl"/>
              </w:rPr>
              <w:t>918,819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3675F5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3675F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5,007,267</w:t>
            </w:r>
            <w:r w:rsidR="005D01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</w:t>
            </w:r>
            <w:r w:rsidR="000D5D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3675F5" w:rsidRDefault="003675F5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3186C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3675F5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164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3675F5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387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3675F5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551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20" w:rsidRDefault="00162920" w:rsidP="00D846D4">
      <w:pPr>
        <w:spacing w:after="0" w:line="240" w:lineRule="auto"/>
      </w:pPr>
      <w:r>
        <w:separator/>
      </w:r>
    </w:p>
  </w:endnote>
  <w:endnote w:type="continuationSeparator" w:id="0">
    <w:p w:rsidR="00162920" w:rsidRDefault="00162920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E51B5D">
        <w:pPr>
          <w:pStyle w:val="Piedepgina"/>
          <w:jc w:val="right"/>
        </w:pPr>
        <w:fldSimple w:instr=" PAGE   \* MERGEFORMAT ">
          <w:r w:rsidR="00111AEC">
            <w:rPr>
              <w:noProof/>
            </w:rPr>
            <w:t>1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20" w:rsidRDefault="00162920" w:rsidP="00D846D4">
      <w:pPr>
        <w:spacing w:after="0" w:line="240" w:lineRule="auto"/>
      </w:pPr>
      <w:r>
        <w:separator/>
      </w:r>
    </w:p>
  </w:footnote>
  <w:footnote w:type="continuationSeparator" w:id="0">
    <w:p w:rsidR="00162920" w:rsidRDefault="00162920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5DC"/>
    <w:rsid w:val="0004165C"/>
    <w:rsid w:val="0004614D"/>
    <w:rsid w:val="00050173"/>
    <w:rsid w:val="00050491"/>
    <w:rsid w:val="0005052C"/>
    <w:rsid w:val="0005101E"/>
    <w:rsid w:val="00055F5C"/>
    <w:rsid w:val="00060F47"/>
    <w:rsid w:val="00062248"/>
    <w:rsid w:val="0006439A"/>
    <w:rsid w:val="00065D10"/>
    <w:rsid w:val="000662F0"/>
    <w:rsid w:val="00070B44"/>
    <w:rsid w:val="0007406D"/>
    <w:rsid w:val="00075CEC"/>
    <w:rsid w:val="00081EDC"/>
    <w:rsid w:val="00084F10"/>
    <w:rsid w:val="0008509F"/>
    <w:rsid w:val="0009178F"/>
    <w:rsid w:val="00092F87"/>
    <w:rsid w:val="00094270"/>
    <w:rsid w:val="00097004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3A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2D5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AEC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2920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84FF7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0449"/>
    <w:rsid w:val="001B116A"/>
    <w:rsid w:val="001B2DBB"/>
    <w:rsid w:val="001B3750"/>
    <w:rsid w:val="001B3A2B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240F"/>
    <w:rsid w:val="00282ED6"/>
    <w:rsid w:val="0028538B"/>
    <w:rsid w:val="00285B86"/>
    <w:rsid w:val="00286886"/>
    <w:rsid w:val="00290560"/>
    <w:rsid w:val="00293D75"/>
    <w:rsid w:val="00295BE9"/>
    <w:rsid w:val="00295CF1"/>
    <w:rsid w:val="002A0CA9"/>
    <w:rsid w:val="002A46FD"/>
    <w:rsid w:val="002A7048"/>
    <w:rsid w:val="002A7277"/>
    <w:rsid w:val="002A7CC1"/>
    <w:rsid w:val="002B0D82"/>
    <w:rsid w:val="002B15B9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5125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675F5"/>
    <w:rsid w:val="0037171B"/>
    <w:rsid w:val="00372309"/>
    <w:rsid w:val="00372C2B"/>
    <w:rsid w:val="00372CF4"/>
    <w:rsid w:val="00373EBB"/>
    <w:rsid w:val="00374A92"/>
    <w:rsid w:val="003758E3"/>
    <w:rsid w:val="0037675A"/>
    <w:rsid w:val="003773B2"/>
    <w:rsid w:val="00380E7A"/>
    <w:rsid w:val="00380FBB"/>
    <w:rsid w:val="0038220E"/>
    <w:rsid w:val="00382E35"/>
    <w:rsid w:val="003836B4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B7873"/>
    <w:rsid w:val="003C30F4"/>
    <w:rsid w:val="003C31D2"/>
    <w:rsid w:val="003C72E8"/>
    <w:rsid w:val="003C7879"/>
    <w:rsid w:val="003D11FB"/>
    <w:rsid w:val="003D2355"/>
    <w:rsid w:val="003D2E62"/>
    <w:rsid w:val="003D49D6"/>
    <w:rsid w:val="003D5223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9D4"/>
    <w:rsid w:val="00415476"/>
    <w:rsid w:val="00420DDD"/>
    <w:rsid w:val="0042426A"/>
    <w:rsid w:val="00425191"/>
    <w:rsid w:val="0042667E"/>
    <w:rsid w:val="00426E53"/>
    <w:rsid w:val="004306B7"/>
    <w:rsid w:val="00433AE5"/>
    <w:rsid w:val="00434A80"/>
    <w:rsid w:val="004357D8"/>
    <w:rsid w:val="004365BD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4759A"/>
    <w:rsid w:val="0045064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C17A7"/>
    <w:rsid w:val="004C2B16"/>
    <w:rsid w:val="004C2DA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61B9"/>
    <w:rsid w:val="00507944"/>
    <w:rsid w:val="0051065A"/>
    <w:rsid w:val="00511191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42F7"/>
    <w:rsid w:val="00554306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31E8"/>
    <w:rsid w:val="00575E7F"/>
    <w:rsid w:val="0057772F"/>
    <w:rsid w:val="00580E5A"/>
    <w:rsid w:val="00580F8A"/>
    <w:rsid w:val="00581A81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5DFC"/>
    <w:rsid w:val="005C715A"/>
    <w:rsid w:val="005C733B"/>
    <w:rsid w:val="005D01C9"/>
    <w:rsid w:val="005D10E4"/>
    <w:rsid w:val="005D14EF"/>
    <w:rsid w:val="005D2693"/>
    <w:rsid w:val="005D35C4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327"/>
    <w:rsid w:val="005F2503"/>
    <w:rsid w:val="005F2F45"/>
    <w:rsid w:val="005F6746"/>
    <w:rsid w:val="005F70D6"/>
    <w:rsid w:val="005F775B"/>
    <w:rsid w:val="005F7BA1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715C"/>
    <w:rsid w:val="00617CC0"/>
    <w:rsid w:val="0062411C"/>
    <w:rsid w:val="00630268"/>
    <w:rsid w:val="00631732"/>
    <w:rsid w:val="00631CE3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2EAD"/>
    <w:rsid w:val="00645EF1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86C"/>
    <w:rsid w:val="00731E00"/>
    <w:rsid w:val="00733B74"/>
    <w:rsid w:val="00734255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7473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9FE"/>
    <w:rsid w:val="007C5C3D"/>
    <w:rsid w:val="007C6116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4E40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2A94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17B9"/>
    <w:rsid w:val="008335B9"/>
    <w:rsid w:val="00835C35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48D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09F6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F2B"/>
    <w:rsid w:val="00977233"/>
    <w:rsid w:val="00977E3E"/>
    <w:rsid w:val="009800C9"/>
    <w:rsid w:val="00981DEA"/>
    <w:rsid w:val="009828E3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D787E"/>
    <w:rsid w:val="009E0973"/>
    <w:rsid w:val="009E138F"/>
    <w:rsid w:val="009E1BCB"/>
    <w:rsid w:val="009E2648"/>
    <w:rsid w:val="009E3666"/>
    <w:rsid w:val="009E45C8"/>
    <w:rsid w:val="009F0272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4B6A"/>
    <w:rsid w:val="00A069B0"/>
    <w:rsid w:val="00A07757"/>
    <w:rsid w:val="00A10FC0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640A"/>
    <w:rsid w:val="00AC0575"/>
    <w:rsid w:val="00AC2517"/>
    <w:rsid w:val="00AC3135"/>
    <w:rsid w:val="00AC352D"/>
    <w:rsid w:val="00AC419F"/>
    <w:rsid w:val="00AC6DBF"/>
    <w:rsid w:val="00AC7565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2191C"/>
    <w:rsid w:val="00B22DAE"/>
    <w:rsid w:val="00B23459"/>
    <w:rsid w:val="00B25387"/>
    <w:rsid w:val="00B2625E"/>
    <w:rsid w:val="00B3078D"/>
    <w:rsid w:val="00B31ED3"/>
    <w:rsid w:val="00B32BEE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610FC"/>
    <w:rsid w:val="00B61540"/>
    <w:rsid w:val="00B62701"/>
    <w:rsid w:val="00B630C4"/>
    <w:rsid w:val="00B6473A"/>
    <w:rsid w:val="00B64B37"/>
    <w:rsid w:val="00B653C6"/>
    <w:rsid w:val="00B660DB"/>
    <w:rsid w:val="00B663FF"/>
    <w:rsid w:val="00B6654C"/>
    <w:rsid w:val="00B677B7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904C8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B0063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2165"/>
    <w:rsid w:val="00BF4345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1A95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CDA"/>
    <w:rsid w:val="00CF7F38"/>
    <w:rsid w:val="00D00ED7"/>
    <w:rsid w:val="00D01F54"/>
    <w:rsid w:val="00D02A28"/>
    <w:rsid w:val="00D049C6"/>
    <w:rsid w:val="00D068E0"/>
    <w:rsid w:val="00D075A4"/>
    <w:rsid w:val="00D12B1A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2876"/>
    <w:rsid w:val="00D6781A"/>
    <w:rsid w:val="00D714C5"/>
    <w:rsid w:val="00D71A15"/>
    <w:rsid w:val="00D71FEF"/>
    <w:rsid w:val="00D727EE"/>
    <w:rsid w:val="00D77576"/>
    <w:rsid w:val="00D81AAA"/>
    <w:rsid w:val="00D846D4"/>
    <w:rsid w:val="00D90A89"/>
    <w:rsid w:val="00D9136F"/>
    <w:rsid w:val="00D919F1"/>
    <w:rsid w:val="00D921D2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CC8"/>
    <w:rsid w:val="00E2548B"/>
    <w:rsid w:val="00E25F54"/>
    <w:rsid w:val="00E2680A"/>
    <w:rsid w:val="00E26A78"/>
    <w:rsid w:val="00E27268"/>
    <w:rsid w:val="00E30BE7"/>
    <w:rsid w:val="00E35894"/>
    <w:rsid w:val="00E40B9F"/>
    <w:rsid w:val="00E41261"/>
    <w:rsid w:val="00E43B5E"/>
    <w:rsid w:val="00E4435B"/>
    <w:rsid w:val="00E44512"/>
    <w:rsid w:val="00E47802"/>
    <w:rsid w:val="00E47B14"/>
    <w:rsid w:val="00E506AE"/>
    <w:rsid w:val="00E509A6"/>
    <w:rsid w:val="00E517B6"/>
    <w:rsid w:val="00E51A5A"/>
    <w:rsid w:val="00E51B5D"/>
    <w:rsid w:val="00E53913"/>
    <w:rsid w:val="00E53CEE"/>
    <w:rsid w:val="00E53FB3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B84"/>
    <w:rsid w:val="00ED1478"/>
    <w:rsid w:val="00ED5D61"/>
    <w:rsid w:val="00ED7451"/>
    <w:rsid w:val="00ED75AB"/>
    <w:rsid w:val="00EE134C"/>
    <w:rsid w:val="00EE1541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378F4"/>
    <w:rsid w:val="00F42F0C"/>
    <w:rsid w:val="00F442B7"/>
    <w:rsid w:val="00F44730"/>
    <w:rsid w:val="00F46684"/>
    <w:rsid w:val="00F46EAF"/>
    <w:rsid w:val="00F47205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3BF"/>
    <w:rsid w:val="00F7544F"/>
    <w:rsid w:val="00F755FD"/>
    <w:rsid w:val="00F75C08"/>
    <w:rsid w:val="00F77731"/>
    <w:rsid w:val="00F803F1"/>
    <w:rsid w:val="00F82C2E"/>
    <w:rsid w:val="00F87B39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66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805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221</c:v>
                </c:pt>
                <c:pt idx="1">
                  <c:v>360</c:v>
                </c:pt>
                <c:pt idx="2">
                  <c:v>26</c:v>
                </c:pt>
                <c:pt idx="3">
                  <c:v>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0"/>
            <c:explosion val="20"/>
          </c:dPt>
          <c:dPt>
            <c:idx val="1"/>
            <c:explosion val="0"/>
          </c:dPt>
          <c:dLbls>
            <c:dLbl>
              <c:idx val="1"/>
              <c:layout>
                <c:manualLayout>
                  <c:x val="0.36168890347040467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26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503"/>
          <c:h val="0.7876984126985329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404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5297517497812774"/>
                  <c:y val="0.2053290213723295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5"/>
          <c:w val="0.82407407407412525"/>
          <c:h val="0.787698412698533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03"/>
                  <c:y val="-0.1380952380952404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206</c:v>
                </c:pt>
                <c:pt idx="1">
                  <c:v>288</c:v>
                </c:pt>
                <c:pt idx="2">
                  <c:v>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56"/>
          <c:w val="0.82407407407412558"/>
          <c:h val="0.787698412698534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9.3360855934676204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8006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3956228</c:v>
                </c:pt>
                <c:pt idx="1">
                  <c:v>918819</c:v>
                </c:pt>
                <c:pt idx="2">
                  <c:v>132220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164</c:v>
                </c:pt>
                <c:pt idx="1">
                  <c:v>387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221</c:v>
                </c:pt>
                <c:pt idx="1">
                  <c:v>360</c:v>
                </c:pt>
                <c:pt idx="2">
                  <c:v>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56</c:v>
                </c:pt>
                <c:pt idx="1">
                  <c:v>40</c:v>
                </c:pt>
                <c:pt idx="2">
                  <c:v>120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203"/>
          <c:h val="0.7876984126985250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210</c:v>
                </c:pt>
                <c:pt idx="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503"/>
          <c:h val="0.7876984126985329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77</c:v>
                </c:pt>
                <c:pt idx="1">
                  <c:v>103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5156275157075424"/>
                  <c:y val="3.197590234106668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8.6767448642563767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7984956962049435E-3"/>
                  <c:y val="-0.1534312741108721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1914105110726858"/>
                  <c:y val="3.1303704486604064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0.31354072988938875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7441554420036512"/>
                  <c:y val="0.22572116662077088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0.16860725723850731"/>
                  <c:y val="-3.3479313915419903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2.1785448665352002E-2"/>
                  <c:y val="-6.821434142437621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543545260109502"/>
                  <c:y val="-7.3858620021490934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Hoja1!$A$2:$A$18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Posesión</c:v>
                </c:pt>
                <c:pt idx="13">
                  <c:v>Otros</c:v>
                </c:pt>
              </c:strCache>
            </c:strRef>
          </c:cat>
          <c:val>
            <c:numRef>
              <c:f>Hoja1!$B$2:$B$18</c:f>
              <c:numCache>
                <c:formatCode>General</c:formatCode>
                <c:ptCount val="17"/>
                <c:pt idx="0">
                  <c:v>40</c:v>
                </c:pt>
                <c:pt idx="1">
                  <c:v>119</c:v>
                </c:pt>
                <c:pt idx="2">
                  <c:v>94</c:v>
                </c:pt>
                <c:pt idx="3">
                  <c:v>23</c:v>
                </c:pt>
                <c:pt idx="4">
                  <c:v>1</c:v>
                </c:pt>
                <c:pt idx="5">
                  <c:v>7</c:v>
                </c:pt>
                <c:pt idx="6">
                  <c:v>40</c:v>
                </c:pt>
                <c:pt idx="7">
                  <c:v>0</c:v>
                </c:pt>
                <c:pt idx="8">
                  <c:v>4</c:v>
                </c:pt>
                <c:pt idx="9">
                  <c:v>9</c:v>
                </c:pt>
                <c:pt idx="10">
                  <c:v>9</c:v>
                </c:pt>
                <c:pt idx="11">
                  <c:v>6</c:v>
                </c:pt>
                <c:pt idx="12">
                  <c:v>0</c:v>
                </c:pt>
                <c:pt idx="13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342</c:v>
                </c:pt>
                <c:pt idx="1">
                  <c:v>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39"/>
          <c:w val="0.82407407407412481"/>
          <c:h val="0.787698412698532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0"/>
                  <c:y val="2.963879515060624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78</c:v>
                </c:pt>
                <c:pt idx="1">
                  <c:v>269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-5.4137374684556733E-2"/>
                  <c:y val="-5.5101085337305811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3"/>
                <c:pt idx="0">
                  <c:v>Otros</c:v>
                </c:pt>
                <c:pt idx="1">
                  <c:v>Titulos de Credito</c:v>
                </c:pt>
                <c:pt idx="2">
                  <c:v>Incumplimiento de Contrato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22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19E1-F6C8-430B-8514-E958271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2017-10-11T21:52:00Z</cp:lastPrinted>
  <dcterms:created xsi:type="dcterms:W3CDTF">2017-10-11T21:52:00Z</dcterms:created>
  <dcterms:modified xsi:type="dcterms:W3CDTF">2017-10-11T21:52:00Z</dcterms:modified>
</cp:coreProperties>
</file>