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822F86" w:rsidRDefault="00903201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0E786A">
        <w:rPr>
          <w:rFonts w:ascii="Arial" w:hAnsi="Arial" w:cs="Arial"/>
          <w:b/>
          <w:sz w:val="24"/>
          <w:szCs w:val="24"/>
          <w:lang w:val="es-ES_tradnl"/>
        </w:rPr>
        <w:t xml:space="preserve"> TRIMESTRE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AE02BC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E3727C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los meses de Julio, Agosto y Septiembre </w:t>
      </w:r>
      <w:r w:rsidR="002A13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AE02BC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903201">
        <w:rPr>
          <w:rFonts w:ascii="Arial" w:hAnsi="Arial" w:cs="Arial"/>
          <w:sz w:val="24"/>
          <w:szCs w:val="24"/>
          <w:lang w:val="es-ES_tradnl"/>
        </w:rPr>
        <w:t>546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03201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903201" w:rsidP="00BD7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03201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03201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03201" w:rsidP="00345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546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E3727C">
        <w:rPr>
          <w:rFonts w:ascii="Arial" w:hAnsi="Arial" w:cs="Arial"/>
          <w:sz w:val="24"/>
          <w:szCs w:val="24"/>
          <w:lang w:val="es-ES_tradnl"/>
        </w:rPr>
        <w:t>514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903201">
        <w:rPr>
          <w:rFonts w:ascii="Arial" w:hAnsi="Arial" w:cs="Arial"/>
          <w:sz w:val="24"/>
          <w:szCs w:val="24"/>
          <w:lang w:val="es-ES_tradnl"/>
        </w:rPr>
        <w:t>150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903201">
        <w:rPr>
          <w:rFonts w:ascii="Arial" w:hAnsi="Arial" w:cs="Arial"/>
          <w:sz w:val="24"/>
          <w:szCs w:val="24"/>
          <w:lang w:val="es-ES_tradnl"/>
        </w:rPr>
        <w:t>220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903201">
        <w:rPr>
          <w:rFonts w:ascii="Arial" w:hAnsi="Arial" w:cs="Arial"/>
          <w:sz w:val="24"/>
          <w:szCs w:val="24"/>
          <w:lang w:val="es-ES_tradnl"/>
        </w:rPr>
        <w:t xml:space="preserve">144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903201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903201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220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903201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144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903201" w:rsidP="008A38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514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3201">
        <w:rPr>
          <w:rFonts w:ascii="Arial" w:hAnsi="Arial" w:cs="Arial"/>
          <w:sz w:val="24"/>
          <w:szCs w:val="24"/>
          <w:lang w:val="es-ES_tradnl"/>
        </w:rPr>
        <w:t>150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903201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903201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903201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903201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40B3E" w:rsidRDefault="00903201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903201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150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903201">
        <w:rPr>
          <w:rFonts w:ascii="Arial" w:hAnsi="Arial" w:cs="Arial"/>
          <w:sz w:val="24"/>
          <w:szCs w:val="24"/>
          <w:lang w:val="es-ES_tradnl"/>
        </w:rPr>
        <w:t>150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903201">
        <w:rPr>
          <w:rFonts w:ascii="Arial" w:hAnsi="Arial" w:cs="Arial"/>
          <w:sz w:val="24"/>
          <w:szCs w:val="24"/>
          <w:lang w:val="es-ES_tradnl"/>
        </w:rPr>
        <w:t>143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903201">
        <w:rPr>
          <w:rFonts w:ascii="Arial" w:hAnsi="Arial" w:cs="Arial"/>
          <w:b/>
          <w:sz w:val="24"/>
          <w:szCs w:val="24"/>
          <w:lang w:val="es-ES_tradnl"/>
        </w:rPr>
        <w:t>7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903201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143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903201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903201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150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5B36C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>tramitadas en el</w:t>
      </w:r>
      <w:r w:rsidR="00AE3F1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5D10">
        <w:rPr>
          <w:rFonts w:ascii="Arial" w:hAnsi="Arial" w:cs="Arial"/>
          <w:sz w:val="24"/>
          <w:szCs w:val="24"/>
          <w:lang w:val="es-ES_tradnl"/>
        </w:rPr>
        <w:t>tercer</w:t>
      </w:r>
      <w:r w:rsidR="00AE3F1F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55715E">
        <w:rPr>
          <w:rFonts w:ascii="Arial" w:hAnsi="Arial" w:cs="Arial"/>
          <w:sz w:val="24"/>
          <w:szCs w:val="24"/>
          <w:lang w:val="es-ES_tradnl"/>
        </w:rPr>
        <w:t>,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C15D10" w:rsidP="00807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C15D10" w:rsidP="00556B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84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C15D10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E3727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E3727C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5B36C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C15D10">
        <w:rPr>
          <w:rFonts w:ascii="Arial" w:hAnsi="Arial" w:cs="Arial"/>
          <w:sz w:val="24"/>
          <w:szCs w:val="24"/>
          <w:lang w:val="es-ES_tradnl"/>
        </w:rPr>
        <w:t>220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C15D10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B3ED2" w:rsidRPr="00A26775" w:rsidRDefault="00C15D10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0569C0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569C0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C15D1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="006D7EC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DF1F8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(</w:t>
            </w:r>
            <w:r w:rsidR="00C15D1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Responsabilidad civil, Colonos, Rep. daño moral, Adeudo crédito personal, Petición de privacidad</w:t>
            </w:r>
            <w:r w:rsidR="00DF1F8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C15D1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220</w:t>
            </w:r>
          </w:p>
        </w:tc>
      </w:tr>
    </w:tbl>
    <w:p w:rsidR="00075CEC" w:rsidRDefault="002A13BE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0</w:t>
      </w:r>
    </w:p>
    <w:p w:rsidR="003C7879" w:rsidRDefault="002A13B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</w:t>
      </w:r>
      <w:r w:rsidR="00213F33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5D10">
        <w:rPr>
          <w:rFonts w:ascii="Arial" w:hAnsi="Arial" w:cs="Arial"/>
          <w:sz w:val="24"/>
          <w:szCs w:val="24"/>
          <w:lang w:val="es-ES_tradnl"/>
        </w:rPr>
        <w:t>220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15D10">
        <w:rPr>
          <w:rFonts w:ascii="Arial" w:hAnsi="Arial" w:cs="Arial"/>
          <w:b/>
          <w:sz w:val="24"/>
          <w:szCs w:val="24"/>
          <w:lang w:val="es-ES_tradnl"/>
        </w:rPr>
        <w:t>211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15D10">
        <w:rPr>
          <w:rFonts w:ascii="Arial" w:hAnsi="Arial" w:cs="Arial"/>
          <w:b/>
          <w:sz w:val="24"/>
          <w:szCs w:val="24"/>
          <w:lang w:val="es-ES_tradnl"/>
        </w:rPr>
        <w:t>9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C15D10" w:rsidP="008F7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C15D10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C15D10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220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15D10" w:rsidRDefault="00C15D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15D10" w:rsidRDefault="00C15D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148B6">
        <w:rPr>
          <w:rFonts w:ascii="Arial" w:hAnsi="Arial" w:cs="Arial"/>
          <w:sz w:val="24"/>
          <w:szCs w:val="24"/>
          <w:lang w:val="es-ES_tradnl"/>
        </w:rPr>
        <w:t xml:space="preserve">tercer 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C15D10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C15D10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150</w:t>
            </w:r>
          </w:p>
        </w:tc>
      </w:tr>
      <w:tr w:rsidR="00B22DAE" w:rsidTr="00C15D10">
        <w:trPr>
          <w:trHeight w:val="416"/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C15D10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206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3148B6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65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5D10">
        <w:rPr>
          <w:rFonts w:ascii="Arial" w:hAnsi="Arial" w:cs="Arial"/>
          <w:sz w:val="24"/>
          <w:szCs w:val="24"/>
          <w:lang w:val="es-ES_tradnl"/>
        </w:rPr>
        <w:t>144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15D1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144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C15D1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C15D10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C15D1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15D1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144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5D10">
        <w:rPr>
          <w:rFonts w:ascii="Arial" w:hAnsi="Arial" w:cs="Arial"/>
          <w:sz w:val="24"/>
          <w:szCs w:val="24"/>
          <w:lang w:val="es-ES_tradnl"/>
        </w:rPr>
        <w:t>144</w:t>
      </w:r>
      <w:r w:rsidR="006C4C0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C4C0B">
        <w:rPr>
          <w:rFonts w:ascii="Arial" w:hAnsi="Arial" w:cs="Arial"/>
          <w:sz w:val="24"/>
          <w:szCs w:val="24"/>
          <w:lang w:val="es-ES_tradnl"/>
        </w:rPr>
        <w:t>1</w:t>
      </w:r>
      <w:r w:rsidR="00C15D10">
        <w:rPr>
          <w:rFonts w:ascii="Arial" w:hAnsi="Arial" w:cs="Arial"/>
          <w:sz w:val="24"/>
          <w:szCs w:val="24"/>
          <w:lang w:val="es-ES_tradnl"/>
        </w:rPr>
        <w:t>4</w:t>
      </w:r>
      <w:r w:rsidR="006C4C0B">
        <w:rPr>
          <w:rFonts w:ascii="Arial" w:hAnsi="Arial" w:cs="Arial"/>
          <w:sz w:val="24"/>
          <w:szCs w:val="24"/>
          <w:lang w:val="es-ES_tradnl"/>
        </w:rPr>
        <w:t>3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15D10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C15D10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</w:t>
            </w:r>
            <w:r w:rsidR="006C4C0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C15D10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6C4C0B" w:rsidP="00C15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C15D1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C15D10">
        <w:rPr>
          <w:rFonts w:ascii="Arial" w:hAnsi="Arial" w:cs="Arial"/>
          <w:sz w:val="24"/>
          <w:szCs w:val="24"/>
          <w:lang w:val="es-ES_tradnl"/>
        </w:rPr>
        <w:t>tercer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C15D10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C15D10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86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C15D10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3148B6" w:rsidP="000569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C15D10">
        <w:rPr>
          <w:rFonts w:ascii="Arial" w:hAnsi="Arial" w:cs="Arial"/>
          <w:sz w:val="24"/>
          <w:szCs w:val="24"/>
          <w:lang w:val="es-ES_tradnl"/>
        </w:rPr>
        <w:t>tercer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 trimestre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C15D10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363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C15D10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271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C15D10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221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C15D10" w:rsidP="00D7628E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855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15D10">
        <w:rPr>
          <w:rFonts w:ascii="Arial" w:hAnsi="Arial" w:cs="Arial"/>
          <w:sz w:val="24"/>
          <w:szCs w:val="24"/>
          <w:lang w:val="es-ES_tradnl"/>
        </w:rPr>
        <w:t>tercer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01054B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01054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669</w:t>
            </w:r>
            <w:r w:rsidR="00571D1C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01054B">
              <w:rPr>
                <w:rFonts w:ascii="Arial" w:hAnsi="Arial" w:cs="Arial"/>
                <w:sz w:val="24"/>
                <w:szCs w:val="24"/>
                <w:lang w:val="es-ES_tradnl"/>
              </w:rPr>
              <w:t>634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01054B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148B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1,523,425</w:t>
            </w:r>
            <w:r w:rsidR="008F7A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01054B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148B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242,014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01054B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01054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2</w:t>
            </w:r>
            <w:r w:rsidR="00571D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01054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435</w:t>
            </w:r>
            <w:r w:rsidR="00571D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01054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073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7384E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571D1C" w:rsidP="000105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  <w:r w:rsidR="0001054B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01054B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320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01054B" w:rsidP="003842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448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49" w:rsidRDefault="00620949" w:rsidP="00D846D4">
      <w:pPr>
        <w:spacing w:after="0" w:line="240" w:lineRule="auto"/>
      </w:pPr>
      <w:r>
        <w:separator/>
      </w:r>
    </w:p>
  </w:endnote>
  <w:endnote w:type="continuationSeparator" w:id="0">
    <w:p w:rsidR="00620949" w:rsidRDefault="00620949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5B36CC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521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49" w:rsidRDefault="00620949" w:rsidP="00D846D4">
      <w:pPr>
        <w:spacing w:after="0" w:line="240" w:lineRule="auto"/>
      </w:pPr>
      <w:r>
        <w:separator/>
      </w:r>
    </w:p>
  </w:footnote>
  <w:footnote w:type="continuationSeparator" w:id="0">
    <w:p w:rsidR="00620949" w:rsidRDefault="00620949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776"/>
    <w:rsid w:val="00003F0F"/>
    <w:rsid w:val="0001054B"/>
    <w:rsid w:val="000122DD"/>
    <w:rsid w:val="00012C25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101E"/>
    <w:rsid w:val="00055F5C"/>
    <w:rsid w:val="000569C0"/>
    <w:rsid w:val="00056BD0"/>
    <w:rsid w:val="00060F47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4F10"/>
    <w:rsid w:val="0008509F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5B8A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E786A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37F7"/>
    <w:rsid w:val="00124939"/>
    <w:rsid w:val="00125033"/>
    <w:rsid w:val="00125466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A4E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3E72"/>
    <w:rsid w:val="001A4768"/>
    <w:rsid w:val="001A6E10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6CF9"/>
    <w:rsid w:val="001C706A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556E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374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8B6"/>
    <w:rsid w:val="00314F06"/>
    <w:rsid w:val="00315A60"/>
    <w:rsid w:val="003163E8"/>
    <w:rsid w:val="0032252E"/>
    <w:rsid w:val="003245FA"/>
    <w:rsid w:val="0032508D"/>
    <w:rsid w:val="003250C9"/>
    <w:rsid w:val="00325F0C"/>
    <w:rsid w:val="00325F2B"/>
    <w:rsid w:val="003261C6"/>
    <w:rsid w:val="0032627D"/>
    <w:rsid w:val="00326A37"/>
    <w:rsid w:val="00326C19"/>
    <w:rsid w:val="00327A2E"/>
    <w:rsid w:val="003332D7"/>
    <w:rsid w:val="00333F4A"/>
    <w:rsid w:val="00336718"/>
    <w:rsid w:val="00336B26"/>
    <w:rsid w:val="003410F3"/>
    <w:rsid w:val="00342285"/>
    <w:rsid w:val="00343978"/>
    <w:rsid w:val="00343BAA"/>
    <w:rsid w:val="00343D21"/>
    <w:rsid w:val="00345125"/>
    <w:rsid w:val="00345B66"/>
    <w:rsid w:val="003467AB"/>
    <w:rsid w:val="0035173F"/>
    <w:rsid w:val="00351824"/>
    <w:rsid w:val="00352405"/>
    <w:rsid w:val="00353387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384E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4262"/>
    <w:rsid w:val="00386E2C"/>
    <w:rsid w:val="00386F8C"/>
    <w:rsid w:val="003870B6"/>
    <w:rsid w:val="00390955"/>
    <w:rsid w:val="00392639"/>
    <w:rsid w:val="00392EE6"/>
    <w:rsid w:val="00393FB7"/>
    <w:rsid w:val="00394FD9"/>
    <w:rsid w:val="0039579C"/>
    <w:rsid w:val="003957B9"/>
    <w:rsid w:val="0039616F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2D3F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09E2"/>
    <w:rsid w:val="00411ED7"/>
    <w:rsid w:val="004130D4"/>
    <w:rsid w:val="0041385A"/>
    <w:rsid w:val="00413BDB"/>
    <w:rsid w:val="004140E8"/>
    <w:rsid w:val="004149D4"/>
    <w:rsid w:val="00415476"/>
    <w:rsid w:val="00420DDD"/>
    <w:rsid w:val="004230E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A7FB8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3062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388"/>
    <w:rsid w:val="00520474"/>
    <w:rsid w:val="00520C29"/>
    <w:rsid w:val="00520CF6"/>
    <w:rsid w:val="00521F90"/>
    <w:rsid w:val="0052343E"/>
    <w:rsid w:val="00523898"/>
    <w:rsid w:val="005245DE"/>
    <w:rsid w:val="00524F51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E54"/>
    <w:rsid w:val="00541359"/>
    <w:rsid w:val="005459C0"/>
    <w:rsid w:val="00547D7C"/>
    <w:rsid w:val="00551538"/>
    <w:rsid w:val="00551ED8"/>
    <w:rsid w:val="005542F7"/>
    <w:rsid w:val="00554769"/>
    <w:rsid w:val="00554F8F"/>
    <w:rsid w:val="00556202"/>
    <w:rsid w:val="005569E7"/>
    <w:rsid w:val="00556B8F"/>
    <w:rsid w:val="0055715E"/>
    <w:rsid w:val="00557280"/>
    <w:rsid w:val="00561EC8"/>
    <w:rsid w:val="005623CC"/>
    <w:rsid w:val="0056525C"/>
    <w:rsid w:val="00566E53"/>
    <w:rsid w:val="00567331"/>
    <w:rsid w:val="00567A91"/>
    <w:rsid w:val="00571D1C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36CC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0949"/>
    <w:rsid w:val="0062411C"/>
    <w:rsid w:val="00631732"/>
    <w:rsid w:val="006324E9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4C0B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614C"/>
    <w:rsid w:val="006E77A4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BF7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87EF8"/>
    <w:rsid w:val="0079099C"/>
    <w:rsid w:val="00791511"/>
    <w:rsid w:val="0079294D"/>
    <w:rsid w:val="00793CAF"/>
    <w:rsid w:val="00795C8B"/>
    <w:rsid w:val="007A1705"/>
    <w:rsid w:val="007A2CF5"/>
    <w:rsid w:val="007A30C7"/>
    <w:rsid w:val="007A3B24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18EF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7B2C"/>
    <w:rsid w:val="008B0099"/>
    <w:rsid w:val="008B0446"/>
    <w:rsid w:val="008B2279"/>
    <w:rsid w:val="008B2F79"/>
    <w:rsid w:val="008B4875"/>
    <w:rsid w:val="008B4A40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8F7A25"/>
    <w:rsid w:val="00901763"/>
    <w:rsid w:val="00903201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3EFA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168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2BC0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973"/>
    <w:rsid w:val="009E138F"/>
    <w:rsid w:val="009E1BCB"/>
    <w:rsid w:val="009E2648"/>
    <w:rsid w:val="009E3666"/>
    <w:rsid w:val="009E45C8"/>
    <w:rsid w:val="009E7DD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548D"/>
    <w:rsid w:val="00A370F3"/>
    <w:rsid w:val="00A3751D"/>
    <w:rsid w:val="00A4104B"/>
    <w:rsid w:val="00A412AF"/>
    <w:rsid w:val="00A4383F"/>
    <w:rsid w:val="00A4580E"/>
    <w:rsid w:val="00A47491"/>
    <w:rsid w:val="00A47B4C"/>
    <w:rsid w:val="00A52591"/>
    <w:rsid w:val="00A53FA1"/>
    <w:rsid w:val="00A55002"/>
    <w:rsid w:val="00A61073"/>
    <w:rsid w:val="00A63164"/>
    <w:rsid w:val="00A635C3"/>
    <w:rsid w:val="00A6694A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198B"/>
    <w:rsid w:val="00AD4F02"/>
    <w:rsid w:val="00AD7B75"/>
    <w:rsid w:val="00AD7E9F"/>
    <w:rsid w:val="00AE02BC"/>
    <w:rsid w:val="00AE2637"/>
    <w:rsid w:val="00AE2B64"/>
    <w:rsid w:val="00AE348E"/>
    <w:rsid w:val="00AE3F1F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087D"/>
    <w:rsid w:val="00B2191C"/>
    <w:rsid w:val="00B22DAE"/>
    <w:rsid w:val="00B23459"/>
    <w:rsid w:val="00B237B2"/>
    <w:rsid w:val="00B25387"/>
    <w:rsid w:val="00B25D33"/>
    <w:rsid w:val="00B2625E"/>
    <w:rsid w:val="00B3078D"/>
    <w:rsid w:val="00B31ED3"/>
    <w:rsid w:val="00B32BEE"/>
    <w:rsid w:val="00B3487B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70F"/>
    <w:rsid w:val="00BD7D0E"/>
    <w:rsid w:val="00BE264D"/>
    <w:rsid w:val="00BE358D"/>
    <w:rsid w:val="00BE37E8"/>
    <w:rsid w:val="00BE4417"/>
    <w:rsid w:val="00BE44B9"/>
    <w:rsid w:val="00BE54F4"/>
    <w:rsid w:val="00BE5C2A"/>
    <w:rsid w:val="00BE70F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15D10"/>
    <w:rsid w:val="00C204B9"/>
    <w:rsid w:val="00C2050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0B3E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C90"/>
    <w:rsid w:val="00C8764B"/>
    <w:rsid w:val="00C87BD6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0BAD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1E3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4B78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E0A78"/>
    <w:rsid w:val="00DE0A94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3727C"/>
    <w:rsid w:val="00E40B9F"/>
    <w:rsid w:val="00E40CFB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599E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7D2D"/>
    <w:rsid w:val="00F3399F"/>
    <w:rsid w:val="00F34858"/>
    <w:rsid w:val="00F34BCA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5F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685"/>
    <w:rsid w:val="00FC50D5"/>
    <w:rsid w:val="00FC6FDA"/>
    <w:rsid w:val="00FC7AEC"/>
    <w:rsid w:val="00FD0E59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7116542723826181"/>
                  <c:y val="0.1428568303962006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552220034995634"/>
                  <c:y val="-0.4451290463692038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247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150</c:v>
                </c:pt>
                <c:pt idx="1">
                  <c:v>220</c:v>
                </c:pt>
                <c:pt idx="2">
                  <c:v>144</c:v>
                </c:pt>
                <c:pt idx="3">
                  <c:v>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11863334791484399"/>
                  <c:y val="3.27380952380952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143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158"/>
          <c:h val="0.787698412698548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23456455963837858"/>
                  <c:y val="-0.2333333333333334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9001221201516491"/>
                  <c:y val="0.1775512435945507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  <c:pt idx="1">
                  <c:v>86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44"/>
                  <c:y val="-0.1380952380952424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363</c:v>
                </c:pt>
                <c:pt idx="1">
                  <c:v>271</c:v>
                </c:pt>
                <c:pt idx="2">
                  <c:v>221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213"/>
          <c:h val="0.787698412698550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1187919218431017"/>
                  <c:y val="-0.2699659417572806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4564067512394285"/>
                  <c:y val="9.9555680539932676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4.4493474773986678E-2"/>
                  <c:y val="-0.2478174603174606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669634</c:v>
                </c:pt>
                <c:pt idx="1">
                  <c:v>1523425</c:v>
                </c:pt>
                <c:pt idx="2">
                  <c:v>242014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37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1"/>
              <c:layout>
                <c:manualLayout>
                  <c:x val="0.16702591534775588"/>
                  <c:y val="0.122923785470212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128</c:v>
                </c:pt>
                <c:pt idx="1">
                  <c:v>320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150</c:v>
                </c:pt>
                <c:pt idx="1">
                  <c:v>220</c:v>
                </c:pt>
                <c:pt idx="2">
                  <c:v>144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4182568334192891"/>
                  <c:y val="1.703756931428102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23</c:v>
                </c:pt>
                <c:pt idx="1">
                  <c:v>26</c:v>
                </c:pt>
                <c:pt idx="2">
                  <c:v>99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858"/>
          <c:h val="0.787698412698541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143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158"/>
          <c:h val="0.787698412698548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26923556430446222"/>
                  <c:y val="-0.2206116500630791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47</c:v>
                </c:pt>
                <c:pt idx="1">
                  <c:v>84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3148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539562046577209"/>
                  <c:y val="5.816554809843399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1029080983751819"/>
                  <c:y val="9.477637442970636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3959481925013456"/>
                  <c:y val="-0.3225034790114326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0905068808322772"/>
                  <c:y val="9.394246860082104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6729306295878335E-3"/>
                  <c:y val="9.7113917807253619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8390804597701163"/>
                  <c:y val="-0.19689865947964566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9.4329299441596667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"/>
                  <c:y val="-2.2400253659567743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3778612972833934"/>
                  <c:y val="-0.13443534323310266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5.5813576841914805E-2"/>
                  <c:y val="-6.359632898236714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7.6253626191462908E-3"/>
                  <c:y val="0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0.29687449685849188"/>
                  <c:y val="0.68215046944635249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2605360809027727"/>
                  <c:y val="7.377336222233968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0.10748007678713498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Servidumbre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Otros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7</c:v>
                </c:pt>
                <c:pt idx="1">
                  <c:v>74</c:v>
                </c:pt>
                <c:pt idx="2">
                  <c:v>36</c:v>
                </c:pt>
                <c:pt idx="3">
                  <c:v>8</c:v>
                </c:pt>
                <c:pt idx="4">
                  <c:v>3</c:v>
                </c:pt>
                <c:pt idx="5">
                  <c:v>7</c:v>
                </c:pt>
                <c:pt idx="6">
                  <c:v>33</c:v>
                </c:pt>
                <c:pt idx="7">
                  <c:v>5</c:v>
                </c:pt>
                <c:pt idx="8">
                  <c:v>10</c:v>
                </c:pt>
                <c:pt idx="9">
                  <c:v>1</c:v>
                </c:pt>
                <c:pt idx="10">
                  <c:v>29</c:v>
                </c:pt>
                <c:pt idx="11">
                  <c:v>2</c:v>
                </c:pt>
                <c:pt idx="1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211</c:v>
                </c:pt>
                <c:pt idx="1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125"/>
          <c:h val="0.787698412698548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4461960484106182"/>
                  <c:y val="-0.2032192850893641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56</c:v>
                </c:pt>
                <c:pt idx="1">
                  <c:v>150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2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019163322623201"/>
                  <c:y val="-1.3846917783925661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165363523955303"/>
                  <c:y val="-3.073533375895591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0.67305</cdr:x>
      <cdr:y>0.17339</cdr:y>
    </cdr:from>
    <cdr:to>
      <cdr:x>0.71384</cdr:x>
      <cdr:y>0.24517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 flipV="1">
          <a:off x="3249436" y="866483"/>
          <a:ext cx="331660" cy="20090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2769-755B-40A4-855C-D8FFFEDD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2019-10-16T20:57:00Z</cp:lastPrinted>
  <dcterms:created xsi:type="dcterms:W3CDTF">2019-10-16T20:57:00Z</dcterms:created>
  <dcterms:modified xsi:type="dcterms:W3CDTF">2019-10-16T20:57:00Z</dcterms:modified>
</cp:coreProperties>
</file>