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</w:p>
    <w:p w:rsidR="00413BDB" w:rsidRDefault="004E1D6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MEXICALI</w:t>
      </w:r>
    </w:p>
    <w:p w:rsidR="00F34858" w:rsidRDefault="00F34858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653AC9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TERCER</w:t>
      </w:r>
      <w:r w:rsidR="00A95A8D">
        <w:rPr>
          <w:rFonts w:ascii="Arial" w:hAnsi="Arial" w:cs="Arial"/>
          <w:b/>
          <w:sz w:val="24"/>
          <w:szCs w:val="24"/>
          <w:lang w:val="es-ES_tradnl"/>
        </w:rPr>
        <w:t xml:space="preserve"> TRIMESTRE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6C0853">
        <w:rPr>
          <w:rFonts w:ascii="Arial" w:hAnsi="Arial" w:cs="Arial"/>
          <w:b/>
          <w:sz w:val="24"/>
          <w:szCs w:val="24"/>
          <w:lang w:val="es-ES_tradnl"/>
        </w:rPr>
        <w:t>9</w:t>
      </w:r>
    </w:p>
    <w:p w:rsidR="000C5AE3" w:rsidRDefault="00C32834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 mes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953319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3F746E">
        <w:rPr>
          <w:rFonts w:ascii="Arial" w:hAnsi="Arial" w:cs="Arial"/>
          <w:sz w:val="24"/>
          <w:szCs w:val="24"/>
          <w:lang w:val="es-ES_tradnl"/>
        </w:rPr>
        <w:t>Julio, Agosto</w:t>
      </w:r>
      <w:r w:rsidR="00931B78">
        <w:rPr>
          <w:rFonts w:ascii="Arial" w:hAnsi="Arial" w:cs="Arial"/>
          <w:sz w:val="24"/>
          <w:szCs w:val="24"/>
          <w:lang w:val="es-ES_tradnl"/>
        </w:rPr>
        <w:t xml:space="preserve"> y 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F746E">
        <w:rPr>
          <w:rFonts w:ascii="Arial" w:hAnsi="Arial" w:cs="Arial"/>
          <w:sz w:val="24"/>
          <w:szCs w:val="24"/>
          <w:lang w:val="es-ES_tradnl"/>
        </w:rPr>
        <w:t>Septiembre</w:t>
      </w:r>
      <w:r w:rsidR="00086A84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885F23">
        <w:rPr>
          <w:rFonts w:ascii="Arial" w:hAnsi="Arial" w:cs="Arial"/>
          <w:sz w:val="24"/>
          <w:szCs w:val="24"/>
          <w:lang w:val="es-ES_tradnl"/>
        </w:rPr>
        <w:t>9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3F746E">
        <w:rPr>
          <w:rFonts w:ascii="Arial" w:hAnsi="Arial" w:cs="Arial"/>
          <w:b/>
          <w:sz w:val="24"/>
          <w:szCs w:val="24"/>
          <w:lang w:val="es-ES_tradnl"/>
        </w:rPr>
        <w:t>598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C31C0E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822F86" w:rsidP="00C31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BA6B70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  <w:r w:rsidR="003F746E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885F23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3F746E">
              <w:rPr>
                <w:rFonts w:ascii="Arial" w:hAnsi="Arial" w:cs="Arial"/>
                <w:sz w:val="24"/>
                <w:szCs w:val="24"/>
                <w:lang w:val="es-ES_tradnl"/>
              </w:rPr>
              <w:t>45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3F746E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3F746E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BA6B70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59</w:t>
            </w:r>
            <w:r w:rsidR="003F74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3F746E">
        <w:rPr>
          <w:rFonts w:ascii="Arial" w:hAnsi="Arial" w:cs="Arial"/>
          <w:b/>
          <w:sz w:val="24"/>
          <w:szCs w:val="24"/>
          <w:lang w:val="es-ES_tradnl"/>
        </w:rPr>
        <w:t>573</w:t>
      </w:r>
      <w:r w:rsidR="00066EC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3F746E">
        <w:rPr>
          <w:rFonts w:ascii="Arial" w:hAnsi="Arial" w:cs="Arial"/>
          <w:b/>
          <w:sz w:val="24"/>
          <w:szCs w:val="24"/>
          <w:lang w:val="es-ES_tradnl"/>
        </w:rPr>
        <w:t>177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3F746E">
        <w:rPr>
          <w:rFonts w:ascii="Arial" w:hAnsi="Arial" w:cs="Arial"/>
          <w:b/>
          <w:sz w:val="24"/>
          <w:szCs w:val="24"/>
          <w:lang w:val="es-ES_tradnl"/>
        </w:rPr>
        <w:t>345</w:t>
      </w:r>
      <w:r w:rsidR="005D5E08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3F746E">
        <w:rPr>
          <w:rFonts w:ascii="Arial" w:hAnsi="Arial" w:cs="Arial"/>
          <w:b/>
          <w:sz w:val="24"/>
          <w:szCs w:val="24"/>
          <w:lang w:val="es-ES_tradnl"/>
        </w:rPr>
        <w:t>51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BA6B70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  <w:r w:rsidR="003F746E">
              <w:rPr>
                <w:rFonts w:ascii="Arial" w:hAnsi="Arial" w:cs="Arial"/>
                <w:sz w:val="24"/>
                <w:szCs w:val="24"/>
                <w:lang w:val="es-ES_tradnl"/>
              </w:rPr>
              <w:t>7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885F23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3F746E">
              <w:rPr>
                <w:rFonts w:ascii="Arial" w:hAnsi="Arial" w:cs="Arial"/>
                <w:sz w:val="24"/>
                <w:szCs w:val="24"/>
                <w:lang w:val="es-ES_tradnl"/>
              </w:rPr>
              <w:t>45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3F746E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BA6B70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</w:t>
            </w:r>
            <w:r w:rsidR="003F74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F746E">
        <w:rPr>
          <w:rFonts w:ascii="Arial" w:hAnsi="Arial" w:cs="Arial"/>
          <w:b/>
          <w:sz w:val="24"/>
          <w:szCs w:val="24"/>
          <w:lang w:val="es-ES_tradnl"/>
        </w:rPr>
        <w:t>177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3F746E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3F746E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54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3F746E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62</w:t>
            </w:r>
          </w:p>
        </w:tc>
      </w:tr>
      <w:tr w:rsidR="001611F6" w:rsidTr="00FA2919">
        <w:tc>
          <w:tcPr>
            <w:tcW w:w="6662" w:type="dxa"/>
          </w:tcPr>
          <w:p w:rsidR="001611F6" w:rsidRDefault="001611F6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familiar</w:t>
            </w:r>
          </w:p>
        </w:tc>
        <w:tc>
          <w:tcPr>
            <w:tcW w:w="2410" w:type="dxa"/>
          </w:tcPr>
          <w:p w:rsidR="001611F6" w:rsidRDefault="003F746E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</w:p>
        </w:tc>
      </w:tr>
      <w:tr w:rsidR="002429CB" w:rsidRPr="00066EC6" w:rsidTr="00FA2919">
        <w:tc>
          <w:tcPr>
            <w:tcW w:w="6662" w:type="dxa"/>
          </w:tcPr>
          <w:p w:rsidR="002429CB" w:rsidRDefault="002429CB" w:rsidP="003F746E">
            <w:pPr>
              <w:tabs>
                <w:tab w:val="center" w:pos="3223"/>
              </w:tabs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 w:rsidR="00BA6B70">
              <w:rPr>
                <w:sz w:val="24"/>
                <w:szCs w:val="24"/>
                <w:lang w:val="es-ES_tradnl"/>
              </w:rPr>
              <w:t xml:space="preserve"> </w:t>
            </w:r>
            <w:r w:rsidR="003F746E">
              <w:rPr>
                <w:sz w:val="24"/>
                <w:szCs w:val="24"/>
                <w:lang w:val="es-ES_tradnl"/>
              </w:rPr>
              <w:t>Desea dialogar respecto a unos menores</w:t>
            </w:r>
          </w:p>
        </w:tc>
        <w:tc>
          <w:tcPr>
            <w:tcW w:w="2410" w:type="dxa"/>
          </w:tcPr>
          <w:p w:rsidR="002429CB" w:rsidRDefault="003F746E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3F746E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177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181060" cy="3957851"/>
            <wp:effectExtent l="19050" t="0" r="19590" b="4549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115C6" w:rsidRDefault="006115C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3F746E">
        <w:rPr>
          <w:rFonts w:ascii="Arial" w:hAnsi="Arial" w:cs="Arial"/>
          <w:b/>
          <w:sz w:val="24"/>
          <w:szCs w:val="24"/>
          <w:lang w:val="es-ES_tradnl"/>
        </w:rPr>
        <w:t>177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>164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3F746E">
        <w:rPr>
          <w:rFonts w:ascii="Arial" w:hAnsi="Arial" w:cs="Arial"/>
          <w:b/>
          <w:sz w:val="24"/>
          <w:szCs w:val="24"/>
          <w:lang w:val="es-ES_tradnl"/>
        </w:rPr>
        <w:t>13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EC15E5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164</w:t>
            </w:r>
          </w:p>
        </w:tc>
      </w:tr>
      <w:tr w:rsidR="00B96D79" w:rsidTr="00086A84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center"/>
          </w:tcPr>
          <w:p w:rsidR="00B96D79" w:rsidRPr="00A26775" w:rsidRDefault="003F746E" w:rsidP="00086A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BA6B70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17</w:t>
            </w:r>
            <w:r w:rsidR="003F74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106F9A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106F9A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E2273C" w:rsidRDefault="00E2273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B92619">
        <w:rPr>
          <w:rFonts w:ascii="Arial" w:hAnsi="Arial" w:cs="Arial"/>
          <w:sz w:val="24"/>
          <w:szCs w:val="24"/>
          <w:lang w:val="es-ES_tradnl"/>
        </w:rPr>
        <w:t>tramitadas en el 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3F746E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56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3F746E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86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3F746E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142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E2273C">
        <w:tc>
          <w:tcPr>
            <w:tcW w:w="4678" w:type="dxa"/>
            <w:vAlign w:val="center"/>
          </w:tcPr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E227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9B2958" w:rsidP="003C78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69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106F9A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106F9A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25349" w:rsidRDefault="00525349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lastRenderedPageBreak/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CE2E81" w:rsidRPr="00822F86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3F746E">
        <w:rPr>
          <w:rFonts w:ascii="Arial" w:hAnsi="Arial" w:cs="Arial"/>
          <w:b/>
          <w:sz w:val="24"/>
          <w:szCs w:val="24"/>
          <w:lang w:val="es-ES_tradnl"/>
        </w:rPr>
        <w:t>345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33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115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94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Pr="00DF5F8E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5D19F4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D19F4" w:rsidRDefault="005D19F4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D19F4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11F67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42</w:t>
            </w:r>
          </w:p>
        </w:tc>
      </w:tr>
      <w:tr w:rsidR="00066EC6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066EC6" w:rsidRPr="00DF5F8E" w:rsidRDefault="00066EC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Hipotecaria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066EC6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4F10BF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4F10BF" w:rsidRDefault="004F10BF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Garantía de Servicio 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F10BF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AE5B03" w:rsidRPr="00DF5F8E" w:rsidTr="004C3D69">
        <w:trPr>
          <w:trHeight w:val="330"/>
        </w:trPr>
        <w:tc>
          <w:tcPr>
            <w:tcW w:w="7685" w:type="dxa"/>
            <w:shd w:val="clear" w:color="auto" w:fill="FFFFFF" w:themeFill="background1"/>
            <w:hideMark/>
          </w:tcPr>
          <w:p w:rsidR="00AE5B03" w:rsidRPr="00DF5F8E" w:rsidRDefault="00AE5B03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E5B03" w:rsidRPr="00A26775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</w:p>
        </w:tc>
      </w:tr>
      <w:tr w:rsidR="00A11F67" w:rsidRPr="00DF5F8E" w:rsidTr="007E5EDF">
        <w:trPr>
          <w:trHeight w:val="342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B23B4A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23B4A" w:rsidRPr="00DF5F8E" w:rsidRDefault="001611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23B4A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51353A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51353A" w:rsidRDefault="0051353A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51353A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7E5EDF" w:rsidRPr="007E5EDF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7E5EDF" w:rsidRDefault="007E5EDF" w:rsidP="00050D63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Otros Asuntos: </w:t>
            </w:r>
            <w:r w:rsidR="003F746E">
              <w:rPr>
                <w:sz w:val="24"/>
                <w:szCs w:val="24"/>
                <w:lang w:val="es-ES_tradnl"/>
              </w:rPr>
              <w:t xml:space="preserve">Desea la solicitante se cubran gastos médicos por una caída que fue ocasionada en la banca del establecimiento, quiere llegar a un acuerdo sobre muebles que compraron en </w:t>
            </w:r>
            <w:r w:rsidR="00050D63">
              <w:rPr>
                <w:sz w:val="24"/>
                <w:szCs w:val="24"/>
                <w:lang w:val="es-ES_tradnl"/>
              </w:rPr>
              <w:t xml:space="preserve">común, </w:t>
            </w:r>
            <w:r w:rsidR="003F746E">
              <w:rPr>
                <w:sz w:val="24"/>
                <w:szCs w:val="24"/>
                <w:lang w:val="es-ES_tradnl"/>
              </w:rPr>
              <w:t xml:space="preserve"> reparación de daño mo</w:t>
            </w:r>
            <w:r w:rsidR="00050D63">
              <w:rPr>
                <w:sz w:val="24"/>
                <w:szCs w:val="24"/>
                <w:lang w:val="es-ES_tradnl"/>
              </w:rPr>
              <w:t>ral por responsabilidad civil (3</w:t>
            </w:r>
            <w:r w:rsidR="003F746E">
              <w:rPr>
                <w:sz w:val="24"/>
                <w:szCs w:val="24"/>
                <w:lang w:val="es-ES_tradnl"/>
              </w:rPr>
              <w:t xml:space="preserve">). Desean recuperar el dinero </w:t>
            </w:r>
            <w:r w:rsidR="00050D63">
              <w:rPr>
                <w:sz w:val="24"/>
                <w:szCs w:val="24"/>
                <w:lang w:val="es-ES_tradnl"/>
              </w:rPr>
              <w:t xml:space="preserve">derivado de una multa </w:t>
            </w:r>
            <w:r w:rsidR="003F746E">
              <w:rPr>
                <w:sz w:val="24"/>
                <w:szCs w:val="24"/>
                <w:lang w:val="es-ES_tradnl"/>
              </w:rPr>
              <w:t xml:space="preserve"> de la invitada, desea evitar conflictos por un árbol, desea aclarar un crédito de un a/c con cargo a su recibo de luz tramitado por otra persona, desea que se haga una disculpa pública.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7E5EDF" w:rsidRDefault="003F746E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3F746E" w:rsidP="004C3D69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345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252787" cy="2524836"/>
            <wp:effectExtent l="19050" t="0" r="24063" b="8814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6267A" w:rsidRDefault="003261C6" w:rsidP="00B9261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F746E">
        <w:rPr>
          <w:rFonts w:ascii="Arial" w:hAnsi="Arial" w:cs="Arial"/>
          <w:b/>
          <w:sz w:val="24"/>
          <w:szCs w:val="24"/>
          <w:lang w:val="es-ES_tradnl"/>
        </w:rPr>
        <w:t>345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B9261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F746E">
        <w:rPr>
          <w:rFonts w:ascii="Arial" w:hAnsi="Arial" w:cs="Arial"/>
          <w:b/>
          <w:sz w:val="24"/>
          <w:szCs w:val="24"/>
          <w:lang w:val="es-ES_tradnl"/>
        </w:rPr>
        <w:t>336</w:t>
      </w:r>
      <w:r w:rsidR="00BF0D0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3F746E">
        <w:rPr>
          <w:rFonts w:ascii="Arial" w:hAnsi="Arial" w:cs="Arial"/>
          <w:b/>
          <w:sz w:val="24"/>
          <w:szCs w:val="24"/>
          <w:lang w:val="es-ES_tradnl"/>
        </w:rPr>
        <w:t>9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EC15E5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3F746E">
              <w:rPr>
                <w:rFonts w:ascii="Arial" w:hAnsi="Arial" w:cs="Arial"/>
                <w:sz w:val="24"/>
                <w:szCs w:val="24"/>
                <w:lang w:val="es-ES_tradnl"/>
              </w:rPr>
              <w:t>36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3F746E" w:rsidP="000E738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B92619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3F746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45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F35AA" w:rsidRDefault="005F35AA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B92619">
        <w:rPr>
          <w:rFonts w:ascii="Arial" w:hAnsi="Arial" w:cs="Arial"/>
          <w:sz w:val="24"/>
          <w:szCs w:val="24"/>
          <w:lang w:val="es-ES_tradnl"/>
        </w:rPr>
        <w:t>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3F746E" w:rsidP="00B342F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60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B92619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="00EC15E5">
              <w:rPr>
                <w:rFonts w:ascii="Arial" w:hAnsi="Arial" w:cs="Arial"/>
                <w:sz w:val="24"/>
                <w:szCs w:val="24"/>
                <w:lang w:val="es-ES_tradnl"/>
              </w:rPr>
              <w:t>26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3F746E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286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9B2958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132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E2273C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951AD" w:rsidRDefault="00867AC4" w:rsidP="003F74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3F746E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38</w:t>
            </w:r>
          </w:p>
        </w:tc>
      </w:tr>
      <w:tr w:rsidR="00BA7074" w:rsidRPr="00BA7074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BA7074" w:rsidRDefault="00551538" w:rsidP="003F746E">
            <w:pPr>
              <w:spacing w:after="0" w:line="240" w:lineRule="exact"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092F87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asuntos</w:t>
            </w:r>
            <w:r w:rsidR="003F746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: </w:t>
            </w:r>
            <w:r w:rsidR="003F746E">
              <w:rPr>
                <w:sz w:val="24"/>
                <w:szCs w:val="24"/>
                <w:lang w:val="es-ES_tradnl"/>
              </w:rPr>
              <w:t>Quieren hacer valer contratos de Habilitación y avío (6). Solicita que se le pague un adeudo derivado de un contrato de habilitación y avío (6), solicita el cumplimiento de una obligación   derivado de un crédito mercantil con garantía hipotecaria.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BA7074" w:rsidRDefault="005F35AA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="003F746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3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050D63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EC15E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11EC0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</w:t>
      </w:r>
    </w:p>
    <w:p w:rsidR="00CE2E81" w:rsidRDefault="00867AC4" w:rsidP="003F746E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 xml:space="preserve">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F746E">
        <w:rPr>
          <w:rFonts w:ascii="Arial" w:hAnsi="Arial" w:cs="Arial"/>
          <w:b/>
          <w:sz w:val="24"/>
          <w:szCs w:val="24"/>
          <w:lang w:val="es-ES_tradnl"/>
        </w:rPr>
        <w:t>5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>1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656F52">
        <w:rPr>
          <w:rFonts w:ascii="Arial" w:hAnsi="Arial" w:cs="Arial"/>
          <w:b/>
          <w:sz w:val="24"/>
          <w:szCs w:val="24"/>
          <w:lang w:val="es-ES_tradnl"/>
        </w:rPr>
        <w:t>5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>1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EC15E5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656F52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  <w:r w:rsidR="00EC15E5"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EC15E5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656F52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EC15E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832B9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18"/>
      </w:tblGrid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18" w:type="dxa"/>
            <w:vAlign w:val="bottom"/>
          </w:tcPr>
          <w:p w:rsidR="00867AC4" w:rsidRPr="00BB0063" w:rsidRDefault="00656F52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867AC4" w:rsidRPr="00841795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18" w:type="dxa"/>
            <w:vAlign w:val="bottom"/>
          </w:tcPr>
          <w:p w:rsidR="00867AC4" w:rsidRPr="00BB0063" w:rsidRDefault="00656F52" w:rsidP="005265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</w:tr>
      <w:tr w:rsidR="00867AC4" w:rsidTr="00B27465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18" w:type="dxa"/>
            <w:vAlign w:val="bottom"/>
          </w:tcPr>
          <w:p w:rsidR="00867AC4" w:rsidRPr="00841795" w:rsidRDefault="00656F52" w:rsidP="005265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60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E2273C" w:rsidTr="00394E13">
        <w:tc>
          <w:tcPr>
            <w:tcW w:w="4678" w:type="dxa"/>
            <w:vAlign w:val="center"/>
          </w:tcPr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E2273C" w:rsidRDefault="00E2273C" w:rsidP="00394E1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</w:tcPr>
          <w:p w:rsidR="00E2273C" w:rsidRDefault="009B2958" w:rsidP="00394E1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Pr="000C5AE3" w:rsidRDefault="00867AC4" w:rsidP="000C5AE3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D11EC0" w:rsidRDefault="00D11EC0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832B9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364C8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656F52">
              <w:rPr>
                <w:rFonts w:ascii="Arial" w:hAnsi="Arial" w:cs="Arial"/>
                <w:sz w:val="24"/>
                <w:szCs w:val="24"/>
                <w:lang w:val="es-ES_tradnl"/>
              </w:rPr>
              <w:t>38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007AB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  <w:r w:rsidR="00CE424A"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656F52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113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656F52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34</w:t>
            </w:r>
            <w:r w:rsidR="00CE42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46267A" w:rsidRDefault="0046267A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832B9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142B2C" w:rsidP="0043031D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656F52">
              <w:rPr>
                <w:rFonts w:ascii="Arial" w:hAnsi="Arial" w:cs="Arial"/>
                <w:sz w:val="24"/>
                <w:szCs w:val="24"/>
                <w:lang w:val="es-ES_tradnl"/>
              </w:rPr>
              <w:t>1,077,792</w:t>
            </w:r>
            <w:r w:rsidR="00EC433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142B2C" w:rsidP="00B27465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CE424A">
              <w:rPr>
                <w:rFonts w:ascii="Arial" w:hAnsi="Arial" w:cs="Arial"/>
                <w:sz w:val="24"/>
                <w:szCs w:val="24"/>
                <w:lang w:val="es-ES_tradnl"/>
              </w:rPr>
              <w:t>1,005,44</w:t>
            </w:r>
            <w:r w:rsidR="00656F52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  <w:r w:rsidR="00D10E29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7B2B97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746461" w:rsidP="00B27465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656F52">
              <w:rPr>
                <w:rFonts w:ascii="Arial" w:hAnsi="Arial" w:cs="Arial"/>
                <w:sz w:val="24"/>
                <w:szCs w:val="24"/>
                <w:lang w:val="es-ES_tradnl"/>
              </w:rPr>
              <w:t>114,818,728.17</w:t>
            </w:r>
            <w:r w:rsidR="009869A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142B2C" w:rsidP="00CE424A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CE424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116,901,96</w:t>
            </w:r>
            <w:r w:rsidR="00656F5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0.17</w:t>
            </w:r>
            <w:r w:rsidR="0043031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9869A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32B96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7C50FE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="00656F52"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832B96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="00656F52">
              <w:rPr>
                <w:rFonts w:ascii="Arial" w:hAnsi="Arial" w:cs="Arial"/>
                <w:sz w:val="24"/>
                <w:szCs w:val="24"/>
                <w:lang w:val="es-ES_tradnl"/>
              </w:rPr>
              <w:t>63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656F52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488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0C5AE3">
      <w:headerReference w:type="default" r:id="rId21"/>
      <w:footerReference w:type="default" r:id="rId22"/>
      <w:pgSz w:w="12240" w:h="15840"/>
      <w:pgMar w:top="237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C3" w:rsidRDefault="00F352C3" w:rsidP="00D846D4">
      <w:pPr>
        <w:spacing w:after="0" w:line="240" w:lineRule="auto"/>
      </w:pPr>
      <w:r>
        <w:separator/>
      </w:r>
    </w:p>
  </w:endnote>
  <w:endnote w:type="continuationSeparator" w:id="0">
    <w:p w:rsidR="00F352C3" w:rsidRDefault="00F352C3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106F9A">
        <w:pPr>
          <w:pStyle w:val="Piedepgina"/>
          <w:jc w:val="right"/>
        </w:pPr>
        <w:fldSimple w:instr=" PAGE   \* MERGEFORMAT ">
          <w:r w:rsidR="00500318">
            <w:rPr>
              <w:noProof/>
            </w:rPr>
            <w:t>1</w:t>
          </w:r>
        </w:fldSimple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C3" w:rsidRDefault="00F352C3" w:rsidP="00D846D4">
      <w:pPr>
        <w:spacing w:after="0" w:line="240" w:lineRule="auto"/>
      </w:pPr>
      <w:r>
        <w:separator/>
      </w:r>
    </w:p>
  </w:footnote>
  <w:footnote w:type="continuationSeparator" w:id="0">
    <w:p w:rsidR="00F352C3" w:rsidRDefault="00F352C3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0C5AE3">
    <w:pPr>
      <w:pStyle w:val="Encabezado"/>
    </w:pPr>
    <w:r w:rsidRPr="000C5AE3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136008</wp:posOffset>
          </wp:positionH>
          <wp:positionV relativeFrom="paragraph">
            <wp:posOffset>-119971</wp:posOffset>
          </wp:positionV>
          <wp:extent cx="2405173" cy="967563"/>
          <wp:effectExtent l="19050" t="0" r="0" b="0"/>
          <wp:wrapNone/>
          <wp:docPr id="15" name="Imagen 4" descr="C:\Documents and Settings\cja02\Local Settings\Temporary Internet Files\Content.Outlook\I5YG66JE\Logo CE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cja02\Local Settings\Temporary Internet Files\Content.Outlook\I5YG66JE\Logo CEJ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173" cy="9675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3F0F"/>
    <w:rsid w:val="00006870"/>
    <w:rsid w:val="00007AB5"/>
    <w:rsid w:val="00010B93"/>
    <w:rsid w:val="000122DD"/>
    <w:rsid w:val="000125AE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0FB1"/>
    <w:rsid w:val="000415DC"/>
    <w:rsid w:val="0004165C"/>
    <w:rsid w:val="000444F6"/>
    <w:rsid w:val="0004614D"/>
    <w:rsid w:val="00050173"/>
    <w:rsid w:val="00050491"/>
    <w:rsid w:val="0005052C"/>
    <w:rsid w:val="00050D63"/>
    <w:rsid w:val="0005101E"/>
    <w:rsid w:val="00055F5C"/>
    <w:rsid w:val="00060F47"/>
    <w:rsid w:val="00062248"/>
    <w:rsid w:val="0006439A"/>
    <w:rsid w:val="00065D10"/>
    <w:rsid w:val="000662F0"/>
    <w:rsid w:val="00066EC6"/>
    <w:rsid w:val="00070B44"/>
    <w:rsid w:val="0007406D"/>
    <w:rsid w:val="00075CEC"/>
    <w:rsid w:val="00081EDC"/>
    <w:rsid w:val="00084F10"/>
    <w:rsid w:val="0008509F"/>
    <w:rsid w:val="0008522F"/>
    <w:rsid w:val="00086786"/>
    <w:rsid w:val="00086A84"/>
    <w:rsid w:val="0009178F"/>
    <w:rsid w:val="00092F87"/>
    <w:rsid w:val="00094270"/>
    <w:rsid w:val="000978B7"/>
    <w:rsid w:val="00097A4D"/>
    <w:rsid w:val="00097B51"/>
    <w:rsid w:val="00097DC4"/>
    <w:rsid w:val="000A043C"/>
    <w:rsid w:val="000A2766"/>
    <w:rsid w:val="000A37CC"/>
    <w:rsid w:val="000A4177"/>
    <w:rsid w:val="000A41B2"/>
    <w:rsid w:val="000A44A9"/>
    <w:rsid w:val="000A4EA3"/>
    <w:rsid w:val="000A6E3F"/>
    <w:rsid w:val="000A70B1"/>
    <w:rsid w:val="000A772B"/>
    <w:rsid w:val="000B09CD"/>
    <w:rsid w:val="000B310A"/>
    <w:rsid w:val="000B478C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5AE3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B0D"/>
    <w:rsid w:val="000E738A"/>
    <w:rsid w:val="000F22BF"/>
    <w:rsid w:val="000F2728"/>
    <w:rsid w:val="000F2A27"/>
    <w:rsid w:val="000F2F9D"/>
    <w:rsid w:val="000F3231"/>
    <w:rsid w:val="000F3F52"/>
    <w:rsid w:val="000F6B89"/>
    <w:rsid w:val="00101E9A"/>
    <w:rsid w:val="00102754"/>
    <w:rsid w:val="00105361"/>
    <w:rsid w:val="001063CF"/>
    <w:rsid w:val="00106D07"/>
    <w:rsid w:val="00106F41"/>
    <w:rsid w:val="00106F9A"/>
    <w:rsid w:val="001075E7"/>
    <w:rsid w:val="00110953"/>
    <w:rsid w:val="00111925"/>
    <w:rsid w:val="00111D82"/>
    <w:rsid w:val="00112549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2B2C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1A9"/>
    <w:rsid w:val="00157A34"/>
    <w:rsid w:val="00157B7B"/>
    <w:rsid w:val="00157CB9"/>
    <w:rsid w:val="00157D90"/>
    <w:rsid w:val="00160764"/>
    <w:rsid w:val="001611F6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93E9F"/>
    <w:rsid w:val="00194B60"/>
    <w:rsid w:val="001952EA"/>
    <w:rsid w:val="001957A5"/>
    <w:rsid w:val="00196CA6"/>
    <w:rsid w:val="001A0307"/>
    <w:rsid w:val="001A1C49"/>
    <w:rsid w:val="001A1DA7"/>
    <w:rsid w:val="001A24D1"/>
    <w:rsid w:val="001A27C9"/>
    <w:rsid w:val="001A2DF1"/>
    <w:rsid w:val="001A3E72"/>
    <w:rsid w:val="001A4768"/>
    <w:rsid w:val="001B116A"/>
    <w:rsid w:val="001B23BF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0CAC"/>
    <w:rsid w:val="001D5861"/>
    <w:rsid w:val="001D5F64"/>
    <w:rsid w:val="001E054D"/>
    <w:rsid w:val="001E4400"/>
    <w:rsid w:val="001E6A37"/>
    <w:rsid w:val="001F3E25"/>
    <w:rsid w:val="001F5518"/>
    <w:rsid w:val="001F6122"/>
    <w:rsid w:val="001F7346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546A"/>
    <w:rsid w:val="002272B4"/>
    <w:rsid w:val="00227CB2"/>
    <w:rsid w:val="00230594"/>
    <w:rsid w:val="002314C6"/>
    <w:rsid w:val="00232ED8"/>
    <w:rsid w:val="00232F01"/>
    <w:rsid w:val="002330E4"/>
    <w:rsid w:val="00236478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607DF"/>
    <w:rsid w:val="0026089C"/>
    <w:rsid w:val="00260AB3"/>
    <w:rsid w:val="00261098"/>
    <w:rsid w:val="002619D0"/>
    <w:rsid w:val="00262025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240F"/>
    <w:rsid w:val="00282ED6"/>
    <w:rsid w:val="002831B1"/>
    <w:rsid w:val="0028538B"/>
    <w:rsid w:val="00285B86"/>
    <w:rsid w:val="00286886"/>
    <w:rsid w:val="002873B2"/>
    <w:rsid w:val="00290560"/>
    <w:rsid w:val="00293D75"/>
    <w:rsid w:val="00295BE9"/>
    <w:rsid w:val="00295CF1"/>
    <w:rsid w:val="002A0CA9"/>
    <w:rsid w:val="002A108F"/>
    <w:rsid w:val="002A33B1"/>
    <w:rsid w:val="002A46FD"/>
    <w:rsid w:val="002A7048"/>
    <w:rsid w:val="002A7277"/>
    <w:rsid w:val="002A7CC1"/>
    <w:rsid w:val="002B0D82"/>
    <w:rsid w:val="002B15B9"/>
    <w:rsid w:val="002B205B"/>
    <w:rsid w:val="002B2659"/>
    <w:rsid w:val="002B2923"/>
    <w:rsid w:val="002B2B5B"/>
    <w:rsid w:val="002B56F9"/>
    <w:rsid w:val="002B5AE6"/>
    <w:rsid w:val="002B6163"/>
    <w:rsid w:val="002C1437"/>
    <w:rsid w:val="002C36B7"/>
    <w:rsid w:val="002C3CF2"/>
    <w:rsid w:val="002C3FF6"/>
    <w:rsid w:val="002C4231"/>
    <w:rsid w:val="002C4F58"/>
    <w:rsid w:val="002C77E3"/>
    <w:rsid w:val="002D01B6"/>
    <w:rsid w:val="002D0770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4C8C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6A"/>
    <w:rsid w:val="0031019F"/>
    <w:rsid w:val="0031241B"/>
    <w:rsid w:val="00312747"/>
    <w:rsid w:val="00312A3F"/>
    <w:rsid w:val="00312B4D"/>
    <w:rsid w:val="00314F06"/>
    <w:rsid w:val="00315A60"/>
    <w:rsid w:val="003163E8"/>
    <w:rsid w:val="0032138C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45A5"/>
    <w:rsid w:val="00345125"/>
    <w:rsid w:val="003467AB"/>
    <w:rsid w:val="0035173F"/>
    <w:rsid w:val="00351824"/>
    <w:rsid w:val="0035203E"/>
    <w:rsid w:val="00352405"/>
    <w:rsid w:val="00353387"/>
    <w:rsid w:val="00356FC2"/>
    <w:rsid w:val="00362ABB"/>
    <w:rsid w:val="00364AED"/>
    <w:rsid w:val="00364C41"/>
    <w:rsid w:val="00364C85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1529"/>
    <w:rsid w:val="0038220E"/>
    <w:rsid w:val="00382D95"/>
    <w:rsid w:val="00382E35"/>
    <w:rsid w:val="00383F19"/>
    <w:rsid w:val="00386E2C"/>
    <w:rsid w:val="00386E8B"/>
    <w:rsid w:val="00386F8C"/>
    <w:rsid w:val="003870B6"/>
    <w:rsid w:val="00390955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C30F4"/>
    <w:rsid w:val="003C31D2"/>
    <w:rsid w:val="003C72E8"/>
    <w:rsid w:val="003C7879"/>
    <w:rsid w:val="003D11FB"/>
    <w:rsid w:val="003D2355"/>
    <w:rsid w:val="003D2E62"/>
    <w:rsid w:val="003D3D4B"/>
    <w:rsid w:val="003D595E"/>
    <w:rsid w:val="003D6306"/>
    <w:rsid w:val="003D74CC"/>
    <w:rsid w:val="003E4CB7"/>
    <w:rsid w:val="003E4DFF"/>
    <w:rsid w:val="003E5063"/>
    <w:rsid w:val="003E6458"/>
    <w:rsid w:val="003E6B4A"/>
    <w:rsid w:val="003E7D70"/>
    <w:rsid w:val="003E7DCB"/>
    <w:rsid w:val="003F22AE"/>
    <w:rsid w:val="003F4795"/>
    <w:rsid w:val="003F4DCA"/>
    <w:rsid w:val="003F7322"/>
    <w:rsid w:val="003F746E"/>
    <w:rsid w:val="00402540"/>
    <w:rsid w:val="004032B1"/>
    <w:rsid w:val="00405C8F"/>
    <w:rsid w:val="00406199"/>
    <w:rsid w:val="00406215"/>
    <w:rsid w:val="00411ED7"/>
    <w:rsid w:val="004130D4"/>
    <w:rsid w:val="0041312C"/>
    <w:rsid w:val="0041385A"/>
    <w:rsid w:val="00413BDB"/>
    <w:rsid w:val="004149D4"/>
    <w:rsid w:val="00415476"/>
    <w:rsid w:val="00420DDD"/>
    <w:rsid w:val="0042270D"/>
    <w:rsid w:val="0042426A"/>
    <w:rsid w:val="00425191"/>
    <w:rsid w:val="00426E53"/>
    <w:rsid w:val="0043031D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75E"/>
    <w:rsid w:val="00452CE1"/>
    <w:rsid w:val="00454A7B"/>
    <w:rsid w:val="00454BEA"/>
    <w:rsid w:val="00455417"/>
    <w:rsid w:val="004562BF"/>
    <w:rsid w:val="00456926"/>
    <w:rsid w:val="00456AE0"/>
    <w:rsid w:val="004611E1"/>
    <w:rsid w:val="00461457"/>
    <w:rsid w:val="0046267A"/>
    <w:rsid w:val="00462822"/>
    <w:rsid w:val="004654A3"/>
    <w:rsid w:val="00465E2B"/>
    <w:rsid w:val="004670CA"/>
    <w:rsid w:val="00467FB9"/>
    <w:rsid w:val="0047242F"/>
    <w:rsid w:val="00472C31"/>
    <w:rsid w:val="004744F5"/>
    <w:rsid w:val="0047574A"/>
    <w:rsid w:val="004772C9"/>
    <w:rsid w:val="004831A1"/>
    <w:rsid w:val="00483D01"/>
    <w:rsid w:val="004912F4"/>
    <w:rsid w:val="00492AD9"/>
    <w:rsid w:val="00493D0D"/>
    <w:rsid w:val="004944CC"/>
    <w:rsid w:val="00496BC6"/>
    <w:rsid w:val="00497228"/>
    <w:rsid w:val="004A028C"/>
    <w:rsid w:val="004A240B"/>
    <w:rsid w:val="004A277A"/>
    <w:rsid w:val="004A4385"/>
    <w:rsid w:val="004A5A26"/>
    <w:rsid w:val="004A5C3A"/>
    <w:rsid w:val="004A642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B5C04"/>
    <w:rsid w:val="004B63F6"/>
    <w:rsid w:val="004C17A7"/>
    <w:rsid w:val="004C2B16"/>
    <w:rsid w:val="004C2DA4"/>
    <w:rsid w:val="004C3D69"/>
    <w:rsid w:val="004C4363"/>
    <w:rsid w:val="004C5147"/>
    <w:rsid w:val="004C5F71"/>
    <w:rsid w:val="004C5FB8"/>
    <w:rsid w:val="004C671C"/>
    <w:rsid w:val="004C773F"/>
    <w:rsid w:val="004D258D"/>
    <w:rsid w:val="004D2AA4"/>
    <w:rsid w:val="004D34ED"/>
    <w:rsid w:val="004D507F"/>
    <w:rsid w:val="004D64F3"/>
    <w:rsid w:val="004E0F7D"/>
    <w:rsid w:val="004E1D6F"/>
    <w:rsid w:val="004E3FB7"/>
    <w:rsid w:val="004E44D1"/>
    <w:rsid w:val="004F10BF"/>
    <w:rsid w:val="004F1788"/>
    <w:rsid w:val="004F205C"/>
    <w:rsid w:val="004F26B7"/>
    <w:rsid w:val="004F2F34"/>
    <w:rsid w:val="004F6656"/>
    <w:rsid w:val="00500318"/>
    <w:rsid w:val="00500B9A"/>
    <w:rsid w:val="00501925"/>
    <w:rsid w:val="00502EE3"/>
    <w:rsid w:val="00504375"/>
    <w:rsid w:val="00504A37"/>
    <w:rsid w:val="005061B9"/>
    <w:rsid w:val="0051065A"/>
    <w:rsid w:val="00511191"/>
    <w:rsid w:val="00512924"/>
    <w:rsid w:val="0051353A"/>
    <w:rsid w:val="0051428B"/>
    <w:rsid w:val="00517910"/>
    <w:rsid w:val="00520388"/>
    <w:rsid w:val="00520474"/>
    <w:rsid w:val="00520C29"/>
    <w:rsid w:val="00520CF6"/>
    <w:rsid w:val="0052343E"/>
    <w:rsid w:val="00523898"/>
    <w:rsid w:val="005245DE"/>
    <w:rsid w:val="00524F51"/>
    <w:rsid w:val="00525349"/>
    <w:rsid w:val="005265CB"/>
    <w:rsid w:val="00532633"/>
    <w:rsid w:val="00532F9E"/>
    <w:rsid w:val="00533078"/>
    <w:rsid w:val="00533B8B"/>
    <w:rsid w:val="005348E6"/>
    <w:rsid w:val="00534E68"/>
    <w:rsid w:val="0053583B"/>
    <w:rsid w:val="005404F8"/>
    <w:rsid w:val="0054054F"/>
    <w:rsid w:val="00540E54"/>
    <w:rsid w:val="0054123B"/>
    <w:rsid w:val="00541359"/>
    <w:rsid w:val="005459C0"/>
    <w:rsid w:val="00551538"/>
    <w:rsid w:val="00551ED8"/>
    <w:rsid w:val="005542F7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2D64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87F2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0A"/>
    <w:rsid w:val="005A6B59"/>
    <w:rsid w:val="005A6C56"/>
    <w:rsid w:val="005A790F"/>
    <w:rsid w:val="005A7C6F"/>
    <w:rsid w:val="005B15A3"/>
    <w:rsid w:val="005B19D4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715A"/>
    <w:rsid w:val="005C733B"/>
    <w:rsid w:val="005D14EF"/>
    <w:rsid w:val="005D19F4"/>
    <w:rsid w:val="005D2693"/>
    <w:rsid w:val="005D5E08"/>
    <w:rsid w:val="005D62E9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35AA"/>
    <w:rsid w:val="005F6746"/>
    <w:rsid w:val="005F70D6"/>
    <w:rsid w:val="005F775B"/>
    <w:rsid w:val="005F7BA1"/>
    <w:rsid w:val="0060162A"/>
    <w:rsid w:val="00601B4A"/>
    <w:rsid w:val="006030EA"/>
    <w:rsid w:val="00607D38"/>
    <w:rsid w:val="006106DD"/>
    <w:rsid w:val="00610C62"/>
    <w:rsid w:val="00611024"/>
    <w:rsid w:val="006115C6"/>
    <w:rsid w:val="00612875"/>
    <w:rsid w:val="00612D50"/>
    <w:rsid w:val="00613B62"/>
    <w:rsid w:val="006151D9"/>
    <w:rsid w:val="0061661D"/>
    <w:rsid w:val="00616966"/>
    <w:rsid w:val="0061715C"/>
    <w:rsid w:val="00617CC0"/>
    <w:rsid w:val="0062411C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6844"/>
    <w:rsid w:val="00650DB9"/>
    <w:rsid w:val="00650F18"/>
    <w:rsid w:val="0065321E"/>
    <w:rsid w:val="00653AC9"/>
    <w:rsid w:val="006549DB"/>
    <w:rsid w:val="00654F2F"/>
    <w:rsid w:val="00656ABD"/>
    <w:rsid w:val="00656B42"/>
    <w:rsid w:val="00656C83"/>
    <w:rsid w:val="00656F52"/>
    <w:rsid w:val="006572F0"/>
    <w:rsid w:val="00660300"/>
    <w:rsid w:val="0066262A"/>
    <w:rsid w:val="00662BF3"/>
    <w:rsid w:val="0066318C"/>
    <w:rsid w:val="00663380"/>
    <w:rsid w:val="0066418C"/>
    <w:rsid w:val="0066443F"/>
    <w:rsid w:val="00667DCE"/>
    <w:rsid w:val="00676340"/>
    <w:rsid w:val="006765CE"/>
    <w:rsid w:val="00680004"/>
    <w:rsid w:val="0068263C"/>
    <w:rsid w:val="006843DB"/>
    <w:rsid w:val="006851B1"/>
    <w:rsid w:val="00685EC2"/>
    <w:rsid w:val="00687BE5"/>
    <w:rsid w:val="006917DA"/>
    <w:rsid w:val="00691D54"/>
    <w:rsid w:val="00692638"/>
    <w:rsid w:val="00694000"/>
    <w:rsid w:val="006942FE"/>
    <w:rsid w:val="00695B40"/>
    <w:rsid w:val="00696EF8"/>
    <w:rsid w:val="00697F63"/>
    <w:rsid w:val="006A0C78"/>
    <w:rsid w:val="006A2E33"/>
    <w:rsid w:val="006A2F25"/>
    <w:rsid w:val="006A4B59"/>
    <w:rsid w:val="006A657C"/>
    <w:rsid w:val="006A6AC8"/>
    <w:rsid w:val="006A734D"/>
    <w:rsid w:val="006B016F"/>
    <w:rsid w:val="006B01F3"/>
    <w:rsid w:val="006B0537"/>
    <w:rsid w:val="006B0B7C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7A0"/>
    <w:rsid w:val="006C0853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1AE"/>
    <w:rsid w:val="006F1201"/>
    <w:rsid w:val="006F3006"/>
    <w:rsid w:val="006F451D"/>
    <w:rsid w:val="006F4809"/>
    <w:rsid w:val="006F4BA7"/>
    <w:rsid w:val="006F76F5"/>
    <w:rsid w:val="0070265C"/>
    <w:rsid w:val="00706739"/>
    <w:rsid w:val="00706A82"/>
    <w:rsid w:val="00707B25"/>
    <w:rsid w:val="00710755"/>
    <w:rsid w:val="00710B76"/>
    <w:rsid w:val="00711616"/>
    <w:rsid w:val="00714354"/>
    <w:rsid w:val="00715FC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E00"/>
    <w:rsid w:val="00733B74"/>
    <w:rsid w:val="007364BA"/>
    <w:rsid w:val="007364EC"/>
    <w:rsid w:val="00740F50"/>
    <w:rsid w:val="0074115F"/>
    <w:rsid w:val="00741301"/>
    <w:rsid w:val="00741BEF"/>
    <w:rsid w:val="00742E38"/>
    <w:rsid w:val="00743B52"/>
    <w:rsid w:val="007453AE"/>
    <w:rsid w:val="00746461"/>
    <w:rsid w:val="007474F2"/>
    <w:rsid w:val="007569D6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A54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3FB7"/>
    <w:rsid w:val="00795C8B"/>
    <w:rsid w:val="007A1705"/>
    <w:rsid w:val="007A2B70"/>
    <w:rsid w:val="007A2CF5"/>
    <w:rsid w:val="007A30C7"/>
    <w:rsid w:val="007A5737"/>
    <w:rsid w:val="007A5EDD"/>
    <w:rsid w:val="007A644C"/>
    <w:rsid w:val="007A7CC1"/>
    <w:rsid w:val="007B065C"/>
    <w:rsid w:val="007B092A"/>
    <w:rsid w:val="007B2B97"/>
    <w:rsid w:val="007B3554"/>
    <w:rsid w:val="007B4BC5"/>
    <w:rsid w:val="007B56BE"/>
    <w:rsid w:val="007B5E98"/>
    <w:rsid w:val="007B62D7"/>
    <w:rsid w:val="007B6607"/>
    <w:rsid w:val="007B70A4"/>
    <w:rsid w:val="007B77DE"/>
    <w:rsid w:val="007C086B"/>
    <w:rsid w:val="007C14B3"/>
    <w:rsid w:val="007C2D9A"/>
    <w:rsid w:val="007C3DC1"/>
    <w:rsid w:val="007C50FE"/>
    <w:rsid w:val="007C5C3D"/>
    <w:rsid w:val="007D05BF"/>
    <w:rsid w:val="007D079A"/>
    <w:rsid w:val="007D1D5B"/>
    <w:rsid w:val="007D53A9"/>
    <w:rsid w:val="007D5724"/>
    <w:rsid w:val="007D64A0"/>
    <w:rsid w:val="007D6856"/>
    <w:rsid w:val="007D6D07"/>
    <w:rsid w:val="007D7A44"/>
    <w:rsid w:val="007E0859"/>
    <w:rsid w:val="007E0C3D"/>
    <w:rsid w:val="007E4E40"/>
    <w:rsid w:val="007E5670"/>
    <w:rsid w:val="007E5EDF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5F6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11952"/>
    <w:rsid w:val="008121ED"/>
    <w:rsid w:val="00812894"/>
    <w:rsid w:val="00813401"/>
    <w:rsid w:val="00814804"/>
    <w:rsid w:val="008151B7"/>
    <w:rsid w:val="00815702"/>
    <w:rsid w:val="00817D5F"/>
    <w:rsid w:val="00817F3B"/>
    <w:rsid w:val="008200F0"/>
    <w:rsid w:val="00821D2F"/>
    <w:rsid w:val="00822F86"/>
    <w:rsid w:val="00823EB6"/>
    <w:rsid w:val="00824C0A"/>
    <w:rsid w:val="008252FC"/>
    <w:rsid w:val="008266DA"/>
    <w:rsid w:val="00826E9C"/>
    <w:rsid w:val="008317B9"/>
    <w:rsid w:val="00831BF6"/>
    <w:rsid w:val="00832B96"/>
    <w:rsid w:val="008335B9"/>
    <w:rsid w:val="00835C35"/>
    <w:rsid w:val="008365BE"/>
    <w:rsid w:val="00837586"/>
    <w:rsid w:val="0084028A"/>
    <w:rsid w:val="008403D2"/>
    <w:rsid w:val="008413E3"/>
    <w:rsid w:val="00841795"/>
    <w:rsid w:val="008427F8"/>
    <w:rsid w:val="008433D6"/>
    <w:rsid w:val="00843B58"/>
    <w:rsid w:val="008450FD"/>
    <w:rsid w:val="00845EB3"/>
    <w:rsid w:val="0085024D"/>
    <w:rsid w:val="00851C00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818EF"/>
    <w:rsid w:val="00885ACB"/>
    <w:rsid w:val="00885F23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2FD2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8F5E51"/>
    <w:rsid w:val="00900FEE"/>
    <w:rsid w:val="00901763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1B78"/>
    <w:rsid w:val="00932933"/>
    <w:rsid w:val="009335ED"/>
    <w:rsid w:val="009346A1"/>
    <w:rsid w:val="00934EDF"/>
    <w:rsid w:val="009358D4"/>
    <w:rsid w:val="009362D3"/>
    <w:rsid w:val="00940C11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4A35"/>
    <w:rsid w:val="00955491"/>
    <w:rsid w:val="00956341"/>
    <w:rsid w:val="009568EB"/>
    <w:rsid w:val="00956D4F"/>
    <w:rsid w:val="009578FF"/>
    <w:rsid w:val="0095790A"/>
    <w:rsid w:val="00960610"/>
    <w:rsid w:val="0096188D"/>
    <w:rsid w:val="0096534B"/>
    <w:rsid w:val="00965BB8"/>
    <w:rsid w:val="00966817"/>
    <w:rsid w:val="009668AB"/>
    <w:rsid w:val="00967446"/>
    <w:rsid w:val="00967D7D"/>
    <w:rsid w:val="00967F69"/>
    <w:rsid w:val="00972926"/>
    <w:rsid w:val="00972D65"/>
    <w:rsid w:val="00973987"/>
    <w:rsid w:val="00975F2B"/>
    <w:rsid w:val="00977233"/>
    <w:rsid w:val="00977E3E"/>
    <w:rsid w:val="009800C9"/>
    <w:rsid w:val="00981DEA"/>
    <w:rsid w:val="00982A30"/>
    <w:rsid w:val="009839C4"/>
    <w:rsid w:val="00983AFC"/>
    <w:rsid w:val="00983DE5"/>
    <w:rsid w:val="00985A46"/>
    <w:rsid w:val="00985E77"/>
    <w:rsid w:val="009869A2"/>
    <w:rsid w:val="009921AE"/>
    <w:rsid w:val="00992A47"/>
    <w:rsid w:val="00992B14"/>
    <w:rsid w:val="0099689D"/>
    <w:rsid w:val="00996CAB"/>
    <w:rsid w:val="00996F1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2958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973"/>
    <w:rsid w:val="009E138F"/>
    <w:rsid w:val="009E1BCB"/>
    <w:rsid w:val="009E2648"/>
    <w:rsid w:val="009E29F5"/>
    <w:rsid w:val="009E3666"/>
    <w:rsid w:val="009E45C8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180C"/>
    <w:rsid w:val="00A04B6A"/>
    <w:rsid w:val="00A10B65"/>
    <w:rsid w:val="00A10FC0"/>
    <w:rsid w:val="00A11F67"/>
    <w:rsid w:val="00A128D6"/>
    <w:rsid w:val="00A130B8"/>
    <w:rsid w:val="00A1385E"/>
    <w:rsid w:val="00A145E2"/>
    <w:rsid w:val="00A1597D"/>
    <w:rsid w:val="00A16636"/>
    <w:rsid w:val="00A17231"/>
    <w:rsid w:val="00A172F0"/>
    <w:rsid w:val="00A204E4"/>
    <w:rsid w:val="00A20787"/>
    <w:rsid w:val="00A24B36"/>
    <w:rsid w:val="00A25051"/>
    <w:rsid w:val="00A2556F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447F"/>
    <w:rsid w:val="00A4580E"/>
    <w:rsid w:val="00A47361"/>
    <w:rsid w:val="00A47491"/>
    <w:rsid w:val="00A47B4C"/>
    <w:rsid w:val="00A52591"/>
    <w:rsid w:val="00A53FA1"/>
    <w:rsid w:val="00A54004"/>
    <w:rsid w:val="00A55002"/>
    <w:rsid w:val="00A57FAD"/>
    <w:rsid w:val="00A63164"/>
    <w:rsid w:val="00A635C3"/>
    <w:rsid w:val="00A66230"/>
    <w:rsid w:val="00A706B1"/>
    <w:rsid w:val="00A746C3"/>
    <w:rsid w:val="00A7637D"/>
    <w:rsid w:val="00A76B56"/>
    <w:rsid w:val="00A76EEE"/>
    <w:rsid w:val="00A80F50"/>
    <w:rsid w:val="00A82BB0"/>
    <w:rsid w:val="00A83855"/>
    <w:rsid w:val="00A83F39"/>
    <w:rsid w:val="00A86010"/>
    <w:rsid w:val="00A8721C"/>
    <w:rsid w:val="00A91471"/>
    <w:rsid w:val="00A918BF"/>
    <w:rsid w:val="00A93C70"/>
    <w:rsid w:val="00A94711"/>
    <w:rsid w:val="00A95A8D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C0575"/>
    <w:rsid w:val="00AC2517"/>
    <w:rsid w:val="00AC3135"/>
    <w:rsid w:val="00AC352D"/>
    <w:rsid w:val="00AC419F"/>
    <w:rsid w:val="00AC6DBF"/>
    <w:rsid w:val="00AC6F22"/>
    <w:rsid w:val="00AC778E"/>
    <w:rsid w:val="00AD4F02"/>
    <w:rsid w:val="00AD7B75"/>
    <w:rsid w:val="00AD7E9F"/>
    <w:rsid w:val="00AE2637"/>
    <w:rsid w:val="00AE2B64"/>
    <w:rsid w:val="00AE348E"/>
    <w:rsid w:val="00AE38F4"/>
    <w:rsid w:val="00AE5B03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469A"/>
    <w:rsid w:val="00B05799"/>
    <w:rsid w:val="00B05B39"/>
    <w:rsid w:val="00B05E80"/>
    <w:rsid w:val="00B069E2"/>
    <w:rsid w:val="00B07117"/>
    <w:rsid w:val="00B07174"/>
    <w:rsid w:val="00B0793B"/>
    <w:rsid w:val="00B07F40"/>
    <w:rsid w:val="00B110C8"/>
    <w:rsid w:val="00B1394C"/>
    <w:rsid w:val="00B13EF9"/>
    <w:rsid w:val="00B1515A"/>
    <w:rsid w:val="00B2191C"/>
    <w:rsid w:val="00B21D5D"/>
    <w:rsid w:val="00B22DAE"/>
    <w:rsid w:val="00B23459"/>
    <w:rsid w:val="00B23B4A"/>
    <w:rsid w:val="00B25387"/>
    <w:rsid w:val="00B2625E"/>
    <w:rsid w:val="00B27465"/>
    <w:rsid w:val="00B3078D"/>
    <w:rsid w:val="00B31ED3"/>
    <w:rsid w:val="00B32BEE"/>
    <w:rsid w:val="00B342F2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27AC"/>
    <w:rsid w:val="00B55D0B"/>
    <w:rsid w:val="00B5666A"/>
    <w:rsid w:val="00B610FC"/>
    <w:rsid w:val="00B61540"/>
    <w:rsid w:val="00B62701"/>
    <w:rsid w:val="00B630C4"/>
    <w:rsid w:val="00B6473A"/>
    <w:rsid w:val="00B64B37"/>
    <w:rsid w:val="00B653C6"/>
    <w:rsid w:val="00B663FF"/>
    <w:rsid w:val="00B6654C"/>
    <w:rsid w:val="00B677B7"/>
    <w:rsid w:val="00B70B30"/>
    <w:rsid w:val="00B713D4"/>
    <w:rsid w:val="00B72C0D"/>
    <w:rsid w:val="00B73F46"/>
    <w:rsid w:val="00B74EC6"/>
    <w:rsid w:val="00B76E51"/>
    <w:rsid w:val="00B779BD"/>
    <w:rsid w:val="00B810C4"/>
    <w:rsid w:val="00B829F8"/>
    <w:rsid w:val="00B850C6"/>
    <w:rsid w:val="00B85EBE"/>
    <w:rsid w:val="00B86967"/>
    <w:rsid w:val="00B870BF"/>
    <w:rsid w:val="00B904C8"/>
    <w:rsid w:val="00B92619"/>
    <w:rsid w:val="00B931DD"/>
    <w:rsid w:val="00B944D0"/>
    <w:rsid w:val="00B9497E"/>
    <w:rsid w:val="00B949F8"/>
    <w:rsid w:val="00B96613"/>
    <w:rsid w:val="00B96D79"/>
    <w:rsid w:val="00BA4975"/>
    <w:rsid w:val="00BA54A8"/>
    <w:rsid w:val="00BA6808"/>
    <w:rsid w:val="00BA6B70"/>
    <w:rsid w:val="00BA7074"/>
    <w:rsid w:val="00BB0063"/>
    <w:rsid w:val="00BB0409"/>
    <w:rsid w:val="00BB044E"/>
    <w:rsid w:val="00BB0744"/>
    <w:rsid w:val="00BB1E9C"/>
    <w:rsid w:val="00BB3464"/>
    <w:rsid w:val="00BB407A"/>
    <w:rsid w:val="00BB68C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0800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2165"/>
    <w:rsid w:val="00BF4345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75D"/>
    <w:rsid w:val="00C211C1"/>
    <w:rsid w:val="00C21536"/>
    <w:rsid w:val="00C232B5"/>
    <w:rsid w:val="00C241E4"/>
    <w:rsid w:val="00C24831"/>
    <w:rsid w:val="00C24AF8"/>
    <w:rsid w:val="00C2540D"/>
    <w:rsid w:val="00C26BCB"/>
    <w:rsid w:val="00C26C78"/>
    <w:rsid w:val="00C270EB"/>
    <w:rsid w:val="00C31C0E"/>
    <w:rsid w:val="00C32834"/>
    <w:rsid w:val="00C32A0B"/>
    <w:rsid w:val="00C33106"/>
    <w:rsid w:val="00C3411A"/>
    <w:rsid w:val="00C371B0"/>
    <w:rsid w:val="00C4067B"/>
    <w:rsid w:val="00C4176A"/>
    <w:rsid w:val="00C41A09"/>
    <w:rsid w:val="00C42596"/>
    <w:rsid w:val="00C43DE7"/>
    <w:rsid w:val="00C451B7"/>
    <w:rsid w:val="00C50136"/>
    <w:rsid w:val="00C50F91"/>
    <w:rsid w:val="00C511B1"/>
    <w:rsid w:val="00C54818"/>
    <w:rsid w:val="00C55A7C"/>
    <w:rsid w:val="00C6015D"/>
    <w:rsid w:val="00C617C3"/>
    <w:rsid w:val="00C6221F"/>
    <w:rsid w:val="00C6459A"/>
    <w:rsid w:val="00C674E3"/>
    <w:rsid w:val="00C67AA6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764B"/>
    <w:rsid w:val="00C87BD6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094A"/>
    <w:rsid w:val="00CB1D01"/>
    <w:rsid w:val="00CB373C"/>
    <w:rsid w:val="00CB388D"/>
    <w:rsid w:val="00CB4672"/>
    <w:rsid w:val="00CB483D"/>
    <w:rsid w:val="00CB6876"/>
    <w:rsid w:val="00CB7AD1"/>
    <w:rsid w:val="00CC265D"/>
    <w:rsid w:val="00CC4184"/>
    <w:rsid w:val="00CC4543"/>
    <w:rsid w:val="00CC67E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24A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75A4"/>
    <w:rsid w:val="00D10A2F"/>
    <w:rsid w:val="00D10E29"/>
    <w:rsid w:val="00D11EC0"/>
    <w:rsid w:val="00D12B1A"/>
    <w:rsid w:val="00D13EF4"/>
    <w:rsid w:val="00D17E70"/>
    <w:rsid w:val="00D21EC4"/>
    <w:rsid w:val="00D226AC"/>
    <w:rsid w:val="00D2289F"/>
    <w:rsid w:val="00D23079"/>
    <w:rsid w:val="00D23C4F"/>
    <w:rsid w:val="00D24F52"/>
    <w:rsid w:val="00D25494"/>
    <w:rsid w:val="00D302F2"/>
    <w:rsid w:val="00D30A09"/>
    <w:rsid w:val="00D31FEC"/>
    <w:rsid w:val="00D32967"/>
    <w:rsid w:val="00D3463F"/>
    <w:rsid w:val="00D34B65"/>
    <w:rsid w:val="00D353E4"/>
    <w:rsid w:val="00D358CA"/>
    <w:rsid w:val="00D453AF"/>
    <w:rsid w:val="00D4545E"/>
    <w:rsid w:val="00D45921"/>
    <w:rsid w:val="00D4618C"/>
    <w:rsid w:val="00D51AAA"/>
    <w:rsid w:val="00D52175"/>
    <w:rsid w:val="00D5339A"/>
    <w:rsid w:val="00D53866"/>
    <w:rsid w:val="00D538E7"/>
    <w:rsid w:val="00D547B1"/>
    <w:rsid w:val="00D54979"/>
    <w:rsid w:val="00D552AF"/>
    <w:rsid w:val="00D55305"/>
    <w:rsid w:val="00D578B8"/>
    <w:rsid w:val="00D60552"/>
    <w:rsid w:val="00D6144C"/>
    <w:rsid w:val="00D6781A"/>
    <w:rsid w:val="00D714C5"/>
    <w:rsid w:val="00D71A15"/>
    <w:rsid w:val="00D71FEF"/>
    <w:rsid w:val="00D727EE"/>
    <w:rsid w:val="00D77576"/>
    <w:rsid w:val="00D80ED1"/>
    <w:rsid w:val="00D81AAA"/>
    <w:rsid w:val="00D846D4"/>
    <w:rsid w:val="00D90A89"/>
    <w:rsid w:val="00D90D5E"/>
    <w:rsid w:val="00D9136F"/>
    <w:rsid w:val="00D919F1"/>
    <w:rsid w:val="00D921D2"/>
    <w:rsid w:val="00D9233F"/>
    <w:rsid w:val="00D92C2C"/>
    <w:rsid w:val="00D9691A"/>
    <w:rsid w:val="00D97494"/>
    <w:rsid w:val="00D97A7F"/>
    <w:rsid w:val="00D97E21"/>
    <w:rsid w:val="00DA18BF"/>
    <w:rsid w:val="00DA19CF"/>
    <w:rsid w:val="00DA3D61"/>
    <w:rsid w:val="00DA5540"/>
    <w:rsid w:val="00DA6D21"/>
    <w:rsid w:val="00DB2263"/>
    <w:rsid w:val="00DB5A59"/>
    <w:rsid w:val="00DC1385"/>
    <w:rsid w:val="00DC2FAB"/>
    <w:rsid w:val="00DC3F39"/>
    <w:rsid w:val="00DC4127"/>
    <w:rsid w:val="00DC72D0"/>
    <w:rsid w:val="00DD0040"/>
    <w:rsid w:val="00DD0E31"/>
    <w:rsid w:val="00DD2AA5"/>
    <w:rsid w:val="00DD2F01"/>
    <w:rsid w:val="00DD5264"/>
    <w:rsid w:val="00DD63C0"/>
    <w:rsid w:val="00DE0A65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E73DF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73C"/>
    <w:rsid w:val="00E22CC8"/>
    <w:rsid w:val="00E22F19"/>
    <w:rsid w:val="00E2548B"/>
    <w:rsid w:val="00E25F54"/>
    <w:rsid w:val="00E2680A"/>
    <w:rsid w:val="00E26A78"/>
    <w:rsid w:val="00E27191"/>
    <w:rsid w:val="00E27268"/>
    <w:rsid w:val="00E27C0D"/>
    <w:rsid w:val="00E30BE7"/>
    <w:rsid w:val="00E35894"/>
    <w:rsid w:val="00E40B9F"/>
    <w:rsid w:val="00E41261"/>
    <w:rsid w:val="00E4263E"/>
    <w:rsid w:val="00E43B5E"/>
    <w:rsid w:val="00E47802"/>
    <w:rsid w:val="00E47B14"/>
    <w:rsid w:val="00E509A6"/>
    <w:rsid w:val="00E517B6"/>
    <w:rsid w:val="00E51A5A"/>
    <w:rsid w:val="00E53913"/>
    <w:rsid w:val="00E53CEE"/>
    <w:rsid w:val="00E53FB3"/>
    <w:rsid w:val="00E552A8"/>
    <w:rsid w:val="00E5558B"/>
    <w:rsid w:val="00E556B0"/>
    <w:rsid w:val="00E5690A"/>
    <w:rsid w:val="00E5748E"/>
    <w:rsid w:val="00E60A87"/>
    <w:rsid w:val="00E60C87"/>
    <w:rsid w:val="00E60E67"/>
    <w:rsid w:val="00E6102A"/>
    <w:rsid w:val="00E610C3"/>
    <w:rsid w:val="00E61638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6651"/>
    <w:rsid w:val="00E871DB"/>
    <w:rsid w:val="00E90BE6"/>
    <w:rsid w:val="00E91445"/>
    <w:rsid w:val="00E93191"/>
    <w:rsid w:val="00E93BB8"/>
    <w:rsid w:val="00E93C26"/>
    <w:rsid w:val="00E93CD1"/>
    <w:rsid w:val="00E951E3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A64C6"/>
    <w:rsid w:val="00EB0206"/>
    <w:rsid w:val="00EB13B7"/>
    <w:rsid w:val="00EB23C3"/>
    <w:rsid w:val="00EB30A2"/>
    <w:rsid w:val="00EB3BA8"/>
    <w:rsid w:val="00EB3BF0"/>
    <w:rsid w:val="00EB7731"/>
    <w:rsid w:val="00EC13A6"/>
    <w:rsid w:val="00EC15E5"/>
    <w:rsid w:val="00EC31BB"/>
    <w:rsid w:val="00EC4337"/>
    <w:rsid w:val="00EC4B84"/>
    <w:rsid w:val="00EC5E9B"/>
    <w:rsid w:val="00ED1478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89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352C3"/>
    <w:rsid w:val="00F40CE9"/>
    <w:rsid w:val="00F42F0C"/>
    <w:rsid w:val="00F442B7"/>
    <w:rsid w:val="00F44730"/>
    <w:rsid w:val="00F46684"/>
    <w:rsid w:val="00F46EAF"/>
    <w:rsid w:val="00F47205"/>
    <w:rsid w:val="00F50C4B"/>
    <w:rsid w:val="00F52177"/>
    <w:rsid w:val="00F522EC"/>
    <w:rsid w:val="00F52C60"/>
    <w:rsid w:val="00F567AB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1CB1"/>
    <w:rsid w:val="00F71E1B"/>
    <w:rsid w:val="00F731CD"/>
    <w:rsid w:val="00F734A4"/>
    <w:rsid w:val="00F74168"/>
    <w:rsid w:val="00F753BF"/>
    <w:rsid w:val="00F7544F"/>
    <w:rsid w:val="00F755FD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09A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50D5"/>
    <w:rsid w:val="00FC6FDA"/>
    <w:rsid w:val="00FC7AEC"/>
    <w:rsid w:val="00FD1518"/>
    <w:rsid w:val="00FD156B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E74C0"/>
    <w:rsid w:val="00FE7D0C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6.136382691746925E-2"/>
                  <c:y val="0.14698537682789969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0.13290390784485273"/>
                  <c:y val="-0.35385920509937197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8.1804279673374211E-2"/>
                  <c:y val="2.5793650793650789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3178751093613297"/>
                  <c:y val="9.9206349206349461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177</c:v>
                </c:pt>
                <c:pt idx="1">
                  <c:v>345</c:v>
                </c:pt>
                <c:pt idx="2">
                  <c:v>51</c:v>
                </c:pt>
                <c:pt idx="3">
                  <c:v>25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20"/>
          <c:dLbls>
            <c:dLbl>
              <c:idx val="0"/>
              <c:layout>
                <c:manualLayout>
                  <c:x val="2.9512977544474277E-2"/>
                  <c:y val="-0.3888888888889021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9.8959244677748637E-2"/>
                  <c:y val="6.44841269841270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</c:f>
              <c:strCache>
                <c:ptCount val="1"/>
                <c:pt idx="0">
                  <c:v>Mediación o conciliación aceptadas</c:v>
                </c:pt>
              </c:strCache>
            </c:strRef>
          </c:cat>
          <c:val>
            <c:numRef>
              <c:f>Hoja1!$B$2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3547"/>
          <c:h val="0.7876984126985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9752752260134138"/>
                  <c:y val="-0.28492094738157814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8538258238553521"/>
                  <c:y val="0.1061226721659801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9</c:v>
                </c:pt>
                <c:pt idx="1">
                  <c:v>51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58"/>
          <c:h val="0.7876984126985586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0.20215696996208807"/>
                  <c:y val="-0.20158730158730451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1.8463837853601641E-3"/>
                  <c:y val="0.14583302087239186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20370370370370369"/>
                  <c:y val="-0.2170634920634932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138</c:v>
                </c:pt>
                <c:pt idx="1">
                  <c:v>98</c:v>
                </c:pt>
                <c:pt idx="2">
                  <c:v>113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602"/>
          <c:h val="0.7876984126985593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0724974482356379"/>
                  <c:y val="-3.1746031746031744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4.8418635170603734E-2"/>
                  <c:y val="-4.7619047619047623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5.3725393700787397E-2"/>
                  <c:y val="0.17662854643169604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1077792</c:v>
                </c:pt>
                <c:pt idx="1">
                  <c:v>1005440</c:v>
                </c:pt>
                <c:pt idx="2">
                  <c:v>114818728.16999999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3943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125</c:v>
                </c:pt>
                <c:pt idx="1">
                  <c:v>363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dLbl>
              <c:idx val="2"/>
              <c:layout>
                <c:manualLayout>
                  <c:x val="8.1540116308990787E-2"/>
                  <c:y val="0.11766002779064386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177</c:v>
                </c:pt>
                <c:pt idx="1">
                  <c:v>345</c:v>
                </c:pt>
                <c:pt idx="2">
                  <c:v>51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0.11919529980351554"/>
                  <c:y val="0.196213298580468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6.23391738370144E-2"/>
                  <c:y val="0.18815513772499379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Contoversia familiar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56</c:v>
                </c:pt>
                <c:pt idx="1">
                  <c:v>54</c:v>
                </c:pt>
                <c:pt idx="2">
                  <c:v>62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3258"/>
          <c:h val="0.7876984126985510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layout>
                <c:manualLayout>
                  <c:x val="0.3221329104695248"/>
                  <c:y val="-0.22133639545056871"/>
                </c:manualLayout>
              </c:layout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164</c:v>
                </c:pt>
                <c:pt idx="1">
                  <c:v>13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3547"/>
          <c:h val="0.7876984126985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56</c:v>
                </c:pt>
                <c:pt idx="1">
                  <c:v>86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7765028355423852E-2"/>
          <c:y val="0.19067993294537069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-7.8056467928359033E-2"/>
                  <c:y val="0.17547917632216159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23826532467431141"/>
                  <c:y val="-0.29362187833348136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3.871735137937251E-2"/>
                  <c:y val="-0.1391444025639539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7984738387450401E-3"/>
                  <c:y val="-0.35171775023395491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24740942284543593"/>
                  <c:y val="8.6327322058206452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9.9223707338599504E-2"/>
                  <c:y val="0.64128049728270864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0903849708735568"/>
                  <c:y val="0.69327273328711769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8603928834155304E-2"/>
                  <c:y val="-0.1259761134509349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5.0798557032676529E-2"/>
                  <c:y val="-4.1110619864062496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31287866802899233"/>
                  <c:y val="2.8313126080268172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Hoja1!$A$2:$A$15</c:f>
              <c:strCache>
                <c:ptCount val="14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Hipotecaria</c:v>
                </c:pt>
                <c:pt idx="8">
                  <c:v>Garantía de Servicio</c:v>
                </c:pt>
                <c:pt idx="9">
                  <c:v>Reparación de daño</c:v>
                </c:pt>
                <c:pt idx="10">
                  <c:v>Pago de Pesos</c:v>
                </c:pt>
                <c:pt idx="11">
                  <c:v>Conflictos vecinales</c:v>
                </c:pt>
                <c:pt idx="12">
                  <c:v>Posesión</c:v>
                </c:pt>
                <c:pt idx="13">
                  <c:v>Otros Asuntos</c:v>
                </c:pt>
              </c:strCache>
            </c:strRef>
          </c:cat>
          <c:val>
            <c:numRef>
              <c:f>Hoja1!$B$2:$B$15</c:f>
              <c:numCache>
                <c:formatCode>General</c:formatCode>
                <c:ptCount val="14"/>
                <c:pt idx="0">
                  <c:v>27</c:v>
                </c:pt>
                <c:pt idx="1">
                  <c:v>110</c:v>
                </c:pt>
                <c:pt idx="2">
                  <c:v>90</c:v>
                </c:pt>
                <c:pt idx="3">
                  <c:v>12</c:v>
                </c:pt>
                <c:pt idx="4">
                  <c:v>0</c:v>
                </c:pt>
                <c:pt idx="5">
                  <c:v>12</c:v>
                </c:pt>
                <c:pt idx="6">
                  <c:v>47</c:v>
                </c:pt>
                <c:pt idx="7">
                  <c:v>0</c:v>
                </c:pt>
                <c:pt idx="8">
                  <c:v>2</c:v>
                </c:pt>
                <c:pt idx="9">
                  <c:v>17</c:v>
                </c:pt>
                <c:pt idx="10">
                  <c:v>6</c:v>
                </c:pt>
                <c:pt idx="11">
                  <c:v>4</c:v>
                </c:pt>
                <c:pt idx="12">
                  <c:v>2</c:v>
                </c:pt>
                <c:pt idx="13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336</c:v>
                </c:pt>
                <c:pt idx="1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444"/>
          <c:w val="0.82407407407413524"/>
          <c:h val="0.7876984126985573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-0.19907407407407407"/>
                  <c:y val="0.1164401324834401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60</c:v>
                </c:pt>
                <c:pt idx="1">
                  <c:v>226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2"/>
              <c:layout>
                <c:manualLayout>
                  <c:x val="0.12566414312046761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Titulos de Credito</c:v>
                </c:pt>
                <c:pt idx="1">
                  <c:v>Otros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38</c:v>
                </c:pt>
                <c:pt idx="1">
                  <c:v>13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62925-F301-4897-9455-379B6756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2019-10-16T20:56:00Z</cp:lastPrinted>
  <dcterms:created xsi:type="dcterms:W3CDTF">2019-10-16T20:55:00Z</dcterms:created>
  <dcterms:modified xsi:type="dcterms:W3CDTF">2019-10-16T20:56:00Z</dcterms:modified>
</cp:coreProperties>
</file>