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F4300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CUARTO</w:t>
      </w:r>
      <w:r w:rsidR="00A95A8D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6C0853">
        <w:rPr>
          <w:rFonts w:ascii="Arial" w:hAnsi="Arial" w:cs="Arial"/>
          <w:b/>
          <w:sz w:val="24"/>
          <w:szCs w:val="24"/>
          <w:lang w:val="es-ES_tradnl"/>
        </w:rPr>
        <w:t>9</w:t>
      </w:r>
    </w:p>
    <w:p w:rsidR="000C5AE3" w:rsidRDefault="00C32834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BB1903">
        <w:rPr>
          <w:rFonts w:ascii="Arial" w:hAnsi="Arial" w:cs="Arial"/>
          <w:sz w:val="24"/>
          <w:szCs w:val="24"/>
          <w:lang w:val="es-ES_tradnl"/>
        </w:rPr>
        <w:t>el cuarto trimestre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885F23">
        <w:rPr>
          <w:rFonts w:ascii="Arial" w:hAnsi="Arial" w:cs="Arial"/>
          <w:sz w:val="24"/>
          <w:szCs w:val="24"/>
          <w:lang w:val="es-ES_tradnl"/>
        </w:rPr>
        <w:t>9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416B1C">
        <w:rPr>
          <w:rFonts w:ascii="Arial" w:hAnsi="Arial" w:cs="Arial"/>
          <w:b/>
          <w:sz w:val="24"/>
          <w:szCs w:val="24"/>
          <w:lang w:val="es-ES_tradnl"/>
        </w:rPr>
        <w:t>537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C31C0E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6B70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416B1C">
              <w:rPr>
                <w:rFonts w:ascii="Arial" w:hAnsi="Arial" w:cs="Arial"/>
                <w:sz w:val="24"/>
                <w:szCs w:val="24"/>
                <w:lang w:val="es-ES_tradnl"/>
              </w:rPr>
              <w:t>42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416B1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289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16B1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16B1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6B70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416B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416B1C">
        <w:rPr>
          <w:rFonts w:ascii="Arial" w:hAnsi="Arial" w:cs="Arial"/>
          <w:b/>
          <w:sz w:val="24"/>
          <w:szCs w:val="24"/>
          <w:lang w:val="es-ES_tradnl"/>
        </w:rPr>
        <w:t>528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777498">
        <w:rPr>
          <w:rFonts w:ascii="Arial" w:hAnsi="Arial" w:cs="Arial"/>
          <w:b/>
          <w:sz w:val="24"/>
          <w:szCs w:val="24"/>
          <w:lang w:val="es-ES_tradnl"/>
        </w:rPr>
        <w:t>142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777498">
        <w:rPr>
          <w:rFonts w:ascii="Arial" w:hAnsi="Arial" w:cs="Arial"/>
          <w:b/>
          <w:sz w:val="24"/>
          <w:szCs w:val="24"/>
          <w:lang w:val="es-ES_tradnl"/>
        </w:rPr>
        <w:t>289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777498">
        <w:rPr>
          <w:rFonts w:ascii="Arial" w:hAnsi="Arial" w:cs="Arial"/>
          <w:b/>
          <w:sz w:val="24"/>
          <w:szCs w:val="24"/>
          <w:lang w:val="es-ES_tradnl"/>
        </w:rPr>
        <w:t>97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662500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142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662500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289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662500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BA6B70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66250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77498">
        <w:rPr>
          <w:rFonts w:ascii="Arial" w:hAnsi="Arial" w:cs="Arial"/>
          <w:b/>
          <w:sz w:val="24"/>
          <w:szCs w:val="24"/>
          <w:lang w:val="es-ES_tradnl"/>
        </w:rPr>
        <w:t>142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77749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41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77749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41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77749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familiar</w:t>
            </w:r>
          </w:p>
        </w:tc>
        <w:tc>
          <w:tcPr>
            <w:tcW w:w="2410" w:type="dxa"/>
          </w:tcPr>
          <w:p w:rsidR="001611F6" w:rsidRDefault="0077749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2429CB" w:rsidRPr="00066EC6" w:rsidTr="00FA2919">
        <w:tc>
          <w:tcPr>
            <w:tcW w:w="6662" w:type="dxa"/>
          </w:tcPr>
          <w:p w:rsidR="002429CB" w:rsidRDefault="002429CB" w:rsidP="00777498">
            <w:pPr>
              <w:tabs>
                <w:tab w:val="center" w:pos="3223"/>
              </w:tabs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 w:rsidR="00BA6B70">
              <w:rPr>
                <w:sz w:val="24"/>
                <w:szCs w:val="24"/>
                <w:lang w:val="es-ES_tradnl"/>
              </w:rPr>
              <w:t xml:space="preserve"> </w:t>
            </w:r>
            <w:r w:rsidR="00777498">
              <w:rPr>
                <w:sz w:val="24"/>
                <w:szCs w:val="24"/>
                <w:lang w:val="es-ES_tradnl"/>
              </w:rPr>
              <w:t>Quiere dejar sin efectos el convenio porque regreso con su pareja</w:t>
            </w:r>
          </w:p>
        </w:tc>
        <w:tc>
          <w:tcPr>
            <w:tcW w:w="2410" w:type="dxa"/>
          </w:tcPr>
          <w:p w:rsidR="002429CB" w:rsidRDefault="00777498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3F746E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77749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42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19050" t="0" r="19590" b="4549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6E71E6">
        <w:rPr>
          <w:rFonts w:ascii="Arial" w:hAnsi="Arial" w:cs="Arial"/>
          <w:b/>
          <w:sz w:val="24"/>
          <w:szCs w:val="24"/>
          <w:lang w:val="es-ES_tradnl"/>
        </w:rPr>
        <w:t>142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71E6">
        <w:rPr>
          <w:rFonts w:ascii="Arial" w:hAnsi="Arial" w:cs="Arial"/>
          <w:b/>
          <w:sz w:val="24"/>
          <w:szCs w:val="24"/>
          <w:lang w:val="es-ES_tradnl"/>
        </w:rPr>
        <w:t xml:space="preserve">133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6E71E6">
        <w:rPr>
          <w:rFonts w:ascii="Arial" w:hAnsi="Arial" w:cs="Arial"/>
          <w:b/>
          <w:sz w:val="24"/>
          <w:szCs w:val="24"/>
          <w:lang w:val="es-ES_tradnl"/>
        </w:rPr>
        <w:t>9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EC15E5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6E71E6"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6E71E6" w:rsidP="00086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BA6B70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6E71E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42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6D05D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6D05D0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92619">
        <w:rPr>
          <w:rFonts w:ascii="Arial" w:hAnsi="Arial" w:cs="Arial"/>
          <w:sz w:val="24"/>
          <w:szCs w:val="24"/>
          <w:lang w:val="es-ES_tradnl"/>
        </w:rPr>
        <w:t>tramitadas en el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6E71E6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3F746E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="006E71E6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3F746E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6E71E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E2273C">
        <w:tc>
          <w:tcPr>
            <w:tcW w:w="4678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4E04D2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6D05D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6D05D0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25349" w:rsidRDefault="00525349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lastRenderedPageBreak/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CE2E81" w:rsidRPr="00822F86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6E71E6">
        <w:rPr>
          <w:rFonts w:ascii="Arial" w:hAnsi="Arial" w:cs="Arial"/>
          <w:b/>
          <w:sz w:val="24"/>
          <w:szCs w:val="24"/>
          <w:lang w:val="es-ES_tradnl"/>
        </w:rPr>
        <w:t>289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60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Pr="00DF5F8E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</w:tr>
      <w:tr w:rsidR="00066EC6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066EC6" w:rsidRPr="00DF5F8E" w:rsidRDefault="00066EC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66EC6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4F10BF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4F10BF" w:rsidRDefault="004F10BF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Garantía de Servicio 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F10BF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E5B03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E5B03" w:rsidRPr="00DF5F8E" w:rsidRDefault="00AE5B0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E5B03" w:rsidRPr="00A26775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A11F67" w:rsidRPr="00DF5F8E" w:rsidTr="007E5EDF">
        <w:trPr>
          <w:trHeight w:val="342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B23B4A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23B4A" w:rsidRPr="00DF5F8E" w:rsidRDefault="001611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23B4A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51353A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1353A" w:rsidRDefault="0051353A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1353A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7E5EDF" w:rsidRPr="007E5EDF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5EDF" w:rsidRDefault="007E5EDF" w:rsidP="006E71E6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Asuntos: </w:t>
            </w:r>
            <w:r w:rsidR="006E71E6">
              <w:rPr>
                <w:sz w:val="24"/>
                <w:szCs w:val="24"/>
                <w:lang w:val="es-ES_tradnl"/>
              </w:rPr>
              <w:t>Desea recuperar objetos personales y muebles que le habían guardado, daño moral (6), solicita entrega de documentos, solicita a su vecino cambie de ubicación medidor de CFE porque está en su domicilio.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7E5EDF" w:rsidRDefault="006E71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6E71E6" w:rsidP="004C3D69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289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52787" cy="2524836"/>
            <wp:effectExtent l="19050" t="0" r="24063" b="8814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04D2" w:rsidRDefault="004E04D2" w:rsidP="00B9261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E04D2" w:rsidRDefault="004E04D2" w:rsidP="00B9261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E04D2" w:rsidRDefault="004E04D2" w:rsidP="00B9261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267A" w:rsidRDefault="003261C6" w:rsidP="00B9261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71E6">
        <w:rPr>
          <w:rFonts w:ascii="Arial" w:hAnsi="Arial" w:cs="Arial"/>
          <w:b/>
          <w:sz w:val="24"/>
          <w:szCs w:val="24"/>
          <w:lang w:val="es-ES_tradnl"/>
        </w:rPr>
        <w:t>289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9261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E71E6">
        <w:rPr>
          <w:rFonts w:ascii="Arial" w:hAnsi="Arial" w:cs="Arial"/>
          <w:b/>
          <w:sz w:val="24"/>
          <w:szCs w:val="24"/>
          <w:lang w:val="es-ES_tradnl"/>
        </w:rPr>
        <w:t>264</w:t>
      </w:r>
      <w:r w:rsidR="00BF0D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6E71E6">
        <w:rPr>
          <w:rFonts w:ascii="Arial" w:hAnsi="Arial" w:cs="Arial"/>
          <w:b/>
          <w:sz w:val="24"/>
          <w:szCs w:val="24"/>
          <w:lang w:val="es-ES_tradnl"/>
        </w:rPr>
        <w:t>25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6E71E6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264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6E71E6" w:rsidP="000E7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6E71E6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289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B92619">
        <w:rPr>
          <w:rFonts w:ascii="Arial" w:hAnsi="Arial" w:cs="Arial"/>
          <w:sz w:val="24"/>
          <w:szCs w:val="24"/>
          <w:lang w:val="es-ES_tradnl"/>
        </w:rPr>
        <w:t>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6E71E6" w:rsidP="00B34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B92619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6E71E6"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3F746E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6E71E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92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4E04D2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951AD" w:rsidRDefault="00867AC4" w:rsidP="003F74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6E71E6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94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415A7C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3F746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: </w:t>
            </w:r>
            <w:r w:rsidR="00415A7C">
              <w:rPr>
                <w:sz w:val="24"/>
                <w:szCs w:val="24"/>
                <w:lang w:val="es-ES_tradnl"/>
              </w:rPr>
              <w:t xml:space="preserve"> Desea hacer cumplir contrato de habilitación y avío(3)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6E71E6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3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8C4CAD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97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4CAD" w:rsidRDefault="00867AC4" w:rsidP="003F746E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CE2E81" w:rsidRDefault="00867AC4" w:rsidP="003F746E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</w:t>
      </w:r>
    </w:p>
    <w:p w:rsidR="004E04D2" w:rsidRDefault="004E04D2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C4CAD">
        <w:rPr>
          <w:rFonts w:ascii="Arial" w:hAnsi="Arial" w:cs="Arial"/>
          <w:b/>
          <w:sz w:val="24"/>
          <w:szCs w:val="24"/>
          <w:lang w:val="es-ES_tradnl"/>
        </w:rPr>
        <w:t>97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C4CAD">
        <w:rPr>
          <w:rFonts w:ascii="Arial" w:hAnsi="Arial" w:cs="Arial"/>
          <w:b/>
          <w:sz w:val="24"/>
          <w:szCs w:val="24"/>
          <w:lang w:val="es-ES_tradnl"/>
        </w:rPr>
        <w:t>97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8C4CAD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EC15E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8C4CAD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E04D2" w:rsidRDefault="004E04D2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E04D2" w:rsidRDefault="004E04D2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BB0063" w:rsidRDefault="008C4CAD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BB0063" w:rsidRDefault="008C4CAD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48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841795" w:rsidRDefault="008C4CAD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78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4E04D2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8C4CAD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205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8C4CAD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245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8C4CAD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66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8C4CAD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516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43031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8C4CAD">
              <w:rPr>
                <w:rFonts w:ascii="Arial" w:hAnsi="Arial" w:cs="Arial"/>
                <w:sz w:val="24"/>
                <w:szCs w:val="24"/>
                <w:lang w:val="es-ES_tradnl"/>
              </w:rPr>
              <w:t>2,705,253</w:t>
            </w:r>
            <w:r w:rsidR="00EC433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B27465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8C4CAD">
              <w:rPr>
                <w:rFonts w:ascii="Arial" w:hAnsi="Arial" w:cs="Arial"/>
                <w:sz w:val="24"/>
                <w:szCs w:val="24"/>
                <w:lang w:val="es-ES_tradnl"/>
              </w:rPr>
              <w:t>1,441,653</w:t>
            </w:r>
            <w:r w:rsidR="00D10E29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746461" w:rsidP="00B27465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8C4CAD">
              <w:rPr>
                <w:rFonts w:ascii="Arial" w:hAnsi="Arial" w:cs="Arial"/>
                <w:sz w:val="24"/>
                <w:szCs w:val="24"/>
                <w:lang w:val="es-ES_tradnl"/>
              </w:rPr>
              <w:t>3,749,278.61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142B2C" w:rsidP="00CE424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8C4CA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7,896,184.61</w:t>
            </w:r>
            <w:r w:rsidR="004303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9869A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32B96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7C50FE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8C4CAD"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8C4CAD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352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8C4CAD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526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1"/>
      <w:footerReference w:type="default" r:id="rId22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A6" w:rsidRDefault="00E738A6" w:rsidP="00D846D4">
      <w:pPr>
        <w:spacing w:after="0" w:line="240" w:lineRule="auto"/>
      </w:pPr>
      <w:r>
        <w:separator/>
      </w:r>
    </w:p>
  </w:endnote>
  <w:endnote w:type="continuationSeparator" w:id="0">
    <w:p w:rsidR="00E738A6" w:rsidRDefault="00E738A6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6D05D0">
        <w:pPr>
          <w:pStyle w:val="Piedepgina"/>
          <w:jc w:val="right"/>
        </w:pPr>
        <w:fldSimple w:instr=" PAGE   \* MERGEFORMAT ">
          <w:r w:rsidR="009F5E25">
            <w:rPr>
              <w:noProof/>
            </w:rPr>
            <w:t>14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A6" w:rsidRDefault="00E738A6" w:rsidP="00D846D4">
      <w:pPr>
        <w:spacing w:after="0" w:line="240" w:lineRule="auto"/>
      </w:pPr>
      <w:r>
        <w:separator/>
      </w:r>
    </w:p>
  </w:footnote>
  <w:footnote w:type="continuationSeparator" w:id="0">
    <w:p w:rsidR="00E738A6" w:rsidRDefault="00E738A6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06870"/>
    <w:rsid w:val="00007AB5"/>
    <w:rsid w:val="00010B93"/>
    <w:rsid w:val="000122DD"/>
    <w:rsid w:val="000125AE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0FB1"/>
    <w:rsid w:val="000415DC"/>
    <w:rsid w:val="0004165C"/>
    <w:rsid w:val="000444F6"/>
    <w:rsid w:val="0004614D"/>
    <w:rsid w:val="00050173"/>
    <w:rsid w:val="00050491"/>
    <w:rsid w:val="0005052C"/>
    <w:rsid w:val="00050D63"/>
    <w:rsid w:val="0005101E"/>
    <w:rsid w:val="00055F5C"/>
    <w:rsid w:val="00060F47"/>
    <w:rsid w:val="00062248"/>
    <w:rsid w:val="0006439A"/>
    <w:rsid w:val="00065D10"/>
    <w:rsid w:val="000662F0"/>
    <w:rsid w:val="00066EC6"/>
    <w:rsid w:val="00070B44"/>
    <w:rsid w:val="0007406D"/>
    <w:rsid w:val="00075CEC"/>
    <w:rsid w:val="00081EDC"/>
    <w:rsid w:val="00084F10"/>
    <w:rsid w:val="0008509F"/>
    <w:rsid w:val="0008522F"/>
    <w:rsid w:val="00086786"/>
    <w:rsid w:val="00086A84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5AE3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2F9D"/>
    <w:rsid w:val="000F3231"/>
    <w:rsid w:val="000F3F52"/>
    <w:rsid w:val="000F6B89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D82"/>
    <w:rsid w:val="00112549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1A9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7C9"/>
    <w:rsid w:val="001A2DF1"/>
    <w:rsid w:val="001A3E72"/>
    <w:rsid w:val="001A4768"/>
    <w:rsid w:val="001B116A"/>
    <w:rsid w:val="001B23BF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E054D"/>
    <w:rsid w:val="001E4400"/>
    <w:rsid w:val="001E6A37"/>
    <w:rsid w:val="001F3E25"/>
    <w:rsid w:val="001F5518"/>
    <w:rsid w:val="001F6122"/>
    <w:rsid w:val="001F7346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37FCC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4433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3D75"/>
    <w:rsid w:val="00294E4B"/>
    <w:rsid w:val="00295BE9"/>
    <w:rsid w:val="00295CF1"/>
    <w:rsid w:val="002A0CA9"/>
    <w:rsid w:val="002A108F"/>
    <w:rsid w:val="002A33B1"/>
    <w:rsid w:val="002A46FD"/>
    <w:rsid w:val="002A7048"/>
    <w:rsid w:val="002A7277"/>
    <w:rsid w:val="002A7CC1"/>
    <w:rsid w:val="002B0D82"/>
    <w:rsid w:val="002B15B9"/>
    <w:rsid w:val="002B205B"/>
    <w:rsid w:val="002B2659"/>
    <w:rsid w:val="002B2923"/>
    <w:rsid w:val="002B2B5B"/>
    <w:rsid w:val="002B56F9"/>
    <w:rsid w:val="002B5AE6"/>
    <w:rsid w:val="002B6163"/>
    <w:rsid w:val="002C1437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6FC2"/>
    <w:rsid w:val="00362ABB"/>
    <w:rsid w:val="00364AED"/>
    <w:rsid w:val="00364C41"/>
    <w:rsid w:val="00364C85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529"/>
    <w:rsid w:val="0038220E"/>
    <w:rsid w:val="00382D95"/>
    <w:rsid w:val="00382E35"/>
    <w:rsid w:val="00383F19"/>
    <w:rsid w:val="00386E2C"/>
    <w:rsid w:val="00386E8B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30F4"/>
    <w:rsid w:val="003C31D2"/>
    <w:rsid w:val="003C72E8"/>
    <w:rsid w:val="003C7879"/>
    <w:rsid w:val="003D11FB"/>
    <w:rsid w:val="003D2355"/>
    <w:rsid w:val="003D2E62"/>
    <w:rsid w:val="003D3D4B"/>
    <w:rsid w:val="003D595E"/>
    <w:rsid w:val="003D6306"/>
    <w:rsid w:val="003D74CC"/>
    <w:rsid w:val="003E4CB7"/>
    <w:rsid w:val="003E4DFF"/>
    <w:rsid w:val="003E5063"/>
    <w:rsid w:val="003E6458"/>
    <w:rsid w:val="003E6B4A"/>
    <w:rsid w:val="003E7D70"/>
    <w:rsid w:val="003E7DCB"/>
    <w:rsid w:val="003F22AE"/>
    <w:rsid w:val="003F4795"/>
    <w:rsid w:val="003F4DCA"/>
    <w:rsid w:val="003F7322"/>
    <w:rsid w:val="003F746E"/>
    <w:rsid w:val="00402540"/>
    <w:rsid w:val="004032B1"/>
    <w:rsid w:val="00405C8F"/>
    <w:rsid w:val="00406199"/>
    <w:rsid w:val="00406215"/>
    <w:rsid w:val="00411ED7"/>
    <w:rsid w:val="004130D4"/>
    <w:rsid w:val="0041312C"/>
    <w:rsid w:val="0041385A"/>
    <w:rsid w:val="00413BDB"/>
    <w:rsid w:val="004149D4"/>
    <w:rsid w:val="00415476"/>
    <w:rsid w:val="00415A7C"/>
    <w:rsid w:val="00416B1C"/>
    <w:rsid w:val="00420DDD"/>
    <w:rsid w:val="0042270D"/>
    <w:rsid w:val="0042426A"/>
    <w:rsid w:val="00425191"/>
    <w:rsid w:val="00426E53"/>
    <w:rsid w:val="0043031D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4BEA"/>
    <w:rsid w:val="00455417"/>
    <w:rsid w:val="004562BF"/>
    <w:rsid w:val="00456926"/>
    <w:rsid w:val="00456AE0"/>
    <w:rsid w:val="004611E1"/>
    <w:rsid w:val="00461457"/>
    <w:rsid w:val="0046267A"/>
    <w:rsid w:val="00462822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31A1"/>
    <w:rsid w:val="00483D01"/>
    <w:rsid w:val="004912F4"/>
    <w:rsid w:val="00492AD9"/>
    <w:rsid w:val="00493D0D"/>
    <w:rsid w:val="004944CC"/>
    <w:rsid w:val="00496BC6"/>
    <w:rsid w:val="00497228"/>
    <w:rsid w:val="004A028C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5C04"/>
    <w:rsid w:val="004B63F6"/>
    <w:rsid w:val="004C17A7"/>
    <w:rsid w:val="004C2B16"/>
    <w:rsid w:val="004C2DA4"/>
    <w:rsid w:val="004C3D69"/>
    <w:rsid w:val="004C4363"/>
    <w:rsid w:val="004C5147"/>
    <w:rsid w:val="004C5F71"/>
    <w:rsid w:val="004C5FB8"/>
    <w:rsid w:val="004C671C"/>
    <w:rsid w:val="004C773F"/>
    <w:rsid w:val="004D258D"/>
    <w:rsid w:val="004D2AA4"/>
    <w:rsid w:val="004D34ED"/>
    <w:rsid w:val="004D507F"/>
    <w:rsid w:val="004D64F3"/>
    <w:rsid w:val="004E04D2"/>
    <w:rsid w:val="004E0F7D"/>
    <w:rsid w:val="004E14DB"/>
    <w:rsid w:val="004E1D6F"/>
    <w:rsid w:val="004E3FB7"/>
    <w:rsid w:val="004E44D1"/>
    <w:rsid w:val="004F10BF"/>
    <w:rsid w:val="004F1788"/>
    <w:rsid w:val="004F205C"/>
    <w:rsid w:val="004F26B7"/>
    <w:rsid w:val="004F2F34"/>
    <w:rsid w:val="004F6656"/>
    <w:rsid w:val="00500B9A"/>
    <w:rsid w:val="00501925"/>
    <w:rsid w:val="00502EE3"/>
    <w:rsid w:val="00504375"/>
    <w:rsid w:val="00504A37"/>
    <w:rsid w:val="005061B9"/>
    <w:rsid w:val="0051065A"/>
    <w:rsid w:val="00511191"/>
    <w:rsid w:val="00512924"/>
    <w:rsid w:val="0051353A"/>
    <w:rsid w:val="0051428B"/>
    <w:rsid w:val="00517910"/>
    <w:rsid w:val="00520388"/>
    <w:rsid w:val="00520474"/>
    <w:rsid w:val="00520C29"/>
    <w:rsid w:val="00520CF6"/>
    <w:rsid w:val="0052343E"/>
    <w:rsid w:val="00523898"/>
    <w:rsid w:val="005245DE"/>
    <w:rsid w:val="00524F51"/>
    <w:rsid w:val="00525349"/>
    <w:rsid w:val="005265CB"/>
    <w:rsid w:val="00532633"/>
    <w:rsid w:val="00532F9E"/>
    <w:rsid w:val="00533078"/>
    <w:rsid w:val="00533B8B"/>
    <w:rsid w:val="005348E6"/>
    <w:rsid w:val="00534E68"/>
    <w:rsid w:val="0053583B"/>
    <w:rsid w:val="005404F8"/>
    <w:rsid w:val="0054054F"/>
    <w:rsid w:val="00540E54"/>
    <w:rsid w:val="0054123B"/>
    <w:rsid w:val="00541359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2D64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87F2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0A"/>
    <w:rsid w:val="005A6B59"/>
    <w:rsid w:val="005A6C56"/>
    <w:rsid w:val="005A790F"/>
    <w:rsid w:val="005A7C6F"/>
    <w:rsid w:val="005B15A3"/>
    <w:rsid w:val="005B19D4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715A"/>
    <w:rsid w:val="005C733B"/>
    <w:rsid w:val="005D14EF"/>
    <w:rsid w:val="005D19F4"/>
    <w:rsid w:val="005D2693"/>
    <w:rsid w:val="005D5E08"/>
    <w:rsid w:val="005D62E9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35AA"/>
    <w:rsid w:val="005F6746"/>
    <w:rsid w:val="005F70D6"/>
    <w:rsid w:val="005F775B"/>
    <w:rsid w:val="005F7BA1"/>
    <w:rsid w:val="0060162A"/>
    <w:rsid w:val="00601B4A"/>
    <w:rsid w:val="006030EA"/>
    <w:rsid w:val="00607D38"/>
    <w:rsid w:val="006106DD"/>
    <w:rsid w:val="00610C62"/>
    <w:rsid w:val="00611024"/>
    <w:rsid w:val="006115C6"/>
    <w:rsid w:val="00612875"/>
    <w:rsid w:val="00612D50"/>
    <w:rsid w:val="00613B62"/>
    <w:rsid w:val="006151D9"/>
    <w:rsid w:val="0061661D"/>
    <w:rsid w:val="00616966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3AC9"/>
    <w:rsid w:val="006549DB"/>
    <w:rsid w:val="00654F2F"/>
    <w:rsid w:val="00656ABD"/>
    <w:rsid w:val="00656B42"/>
    <w:rsid w:val="00656C83"/>
    <w:rsid w:val="00656F52"/>
    <w:rsid w:val="006572F0"/>
    <w:rsid w:val="00660300"/>
    <w:rsid w:val="00662500"/>
    <w:rsid w:val="0066262A"/>
    <w:rsid w:val="00662BF3"/>
    <w:rsid w:val="0066318C"/>
    <w:rsid w:val="00663380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87BE5"/>
    <w:rsid w:val="006917DA"/>
    <w:rsid w:val="00691D54"/>
    <w:rsid w:val="00692638"/>
    <w:rsid w:val="00694000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7A0"/>
    <w:rsid w:val="006C0853"/>
    <w:rsid w:val="006C0A84"/>
    <w:rsid w:val="006C2ACE"/>
    <w:rsid w:val="006C3703"/>
    <w:rsid w:val="006C5BA6"/>
    <w:rsid w:val="006C657B"/>
    <w:rsid w:val="006D05D0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4B7E"/>
    <w:rsid w:val="006E614C"/>
    <w:rsid w:val="006E71E6"/>
    <w:rsid w:val="006F11AE"/>
    <w:rsid w:val="006F1201"/>
    <w:rsid w:val="006F3006"/>
    <w:rsid w:val="006F451D"/>
    <w:rsid w:val="006F4809"/>
    <w:rsid w:val="006F4BA7"/>
    <w:rsid w:val="006F76F5"/>
    <w:rsid w:val="0070265C"/>
    <w:rsid w:val="00706739"/>
    <w:rsid w:val="00706A82"/>
    <w:rsid w:val="00707B25"/>
    <w:rsid w:val="00710755"/>
    <w:rsid w:val="00710B76"/>
    <w:rsid w:val="00711616"/>
    <w:rsid w:val="00714354"/>
    <w:rsid w:val="00715FC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6461"/>
    <w:rsid w:val="007474F2"/>
    <w:rsid w:val="007569D6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A54"/>
    <w:rsid w:val="00772DFF"/>
    <w:rsid w:val="00773C61"/>
    <w:rsid w:val="00776541"/>
    <w:rsid w:val="00777498"/>
    <w:rsid w:val="00777905"/>
    <w:rsid w:val="00781E5B"/>
    <w:rsid w:val="00783F1D"/>
    <w:rsid w:val="0079099C"/>
    <w:rsid w:val="00791511"/>
    <w:rsid w:val="0079294D"/>
    <w:rsid w:val="00793CAF"/>
    <w:rsid w:val="00793FB7"/>
    <w:rsid w:val="00795C8B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092A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14B3"/>
    <w:rsid w:val="007C2D9A"/>
    <w:rsid w:val="007C3DC1"/>
    <w:rsid w:val="007C50FE"/>
    <w:rsid w:val="007C5C3D"/>
    <w:rsid w:val="007D05BF"/>
    <w:rsid w:val="007D079A"/>
    <w:rsid w:val="007D1D5B"/>
    <w:rsid w:val="007D53A9"/>
    <w:rsid w:val="007D5724"/>
    <w:rsid w:val="007D64A0"/>
    <w:rsid w:val="007D6856"/>
    <w:rsid w:val="007D6D07"/>
    <w:rsid w:val="007D7A44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5F6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1952"/>
    <w:rsid w:val="008121ED"/>
    <w:rsid w:val="00812894"/>
    <w:rsid w:val="00813401"/>
    <w:rsid w:val="00814804"/>
    <w:rsid w:val="008151B7"/>
    <w:rsid w:val="00815702"/>
    <w:rsid w:val="00817D5F"/>
    <w:rsid w:val="00817F3B"/>
    <w:rsid w:val="008200F0"/>
    <w:rsid w:val="00821D2F"/>
    <w:rsid w:val="00822F86"/>
    <w:rsid w:val="00823EB6"/>
    <w:rsid w:val="00824C0A"/>
    <w:rsid w:val="008252FC"/>
    <w:rsid w:val="008266DA"/>
    <w:rsid w:val="00826E9C"/>
    <w:rsid w:val="008317B9"/>
    <w:rsid w:val="00831BF6"/>
    <w:rsid w:val="00832B96"/>
    <w:rsid w:val="008335B9"/>
    <w:rsid w:val="00835C35"/>
    <w:rsid w:val="008365BE"/>
    <w:rsid w:val="00837586"/>
    <w:rsid w:val="0084028A"/>
    <w:rsid w:val="008403D2"/>
    <w:rsid w:val="008413E3"/>
    <w:rsid w:val="00841795"/>
    <w:rsid w:val="008427F8"/>
    <w:rsid w:val="008433D6"/>
    <w:rsid w:val="00843B58"/>
    <w:rsid w:val="008450FD"/>
    <w:rsid w:val="00845EB3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818EF"/>
    <w:rsid w:val="00885ACB"/>
    <w:rsid w:val="00885F23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4CAD"/>
    <w:rsid w:val="008C51A5"/>
    <w:rsid w:val="008C53B3"/>
    <w:rsid w:val="008C6164"/>
    <w:rsid w:val="008C6E3D"/>
    <w:rsid w:val="008D175F"/>
    <w:rsid w:val="008D1DBB"/>
    <w:rsid w:val="008D268B"/>
    <w:rsid w:val="008D2FD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8F5E51"/>
    <w:rsid w:val="00900FEE"/>
    <w:rsid w:val="00901763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1B78"/>
    <w:rsid w:val="00932933"/>
    <w:rsid w:val="009335ED"/>
    <w:rsid w:val="009346A1"/>
    <w:rsid w:val="00934EDF"/>
    <w:rsid w:val="009358D4"/>
    <w:rsid w:val="009362D3"/>
    <w:rsid w:val="00940C11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8EB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3987"/>
    <w:rsid w:val="00975F2B"/>
    <w:rsid w:val="00977233"/>
    <w:rsid w:val="00977E3E"/>
    <w:rsid w:val="009800C9"/>
    <w:rsid w:val="00981DEA"/>
    <w:rsid w:val="00982A30"/>
    <w:rsid w:val="009839C4"/>
    <w:rsid w:val="00983AFC"/>
    <w:rsid w:val="00983DE5"/>
    <w:rsid w:val="00985A46"/>
    <w:rsid w:val="00985E77"/>
    <w:rsid w:val="009869A2"/>
    <w:rsid w:val="009921AE"/>
    <w:rsid w:val="00992A47"/>
    <w:rsid w:val="00992B14"/>
    <w:rsid w:val="0099689D"/>
    <w:rsid w:val="00996CAB"/>
    <w:rsid w:val="00996F1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2958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973"/>
    <w:rsid w:val="009E138F"/>
    <w:rsid w:val="009E1BCB"/>
    <w:rsid w:val="009E2648"/>
    <w:rsid w:val="009E29F5"/>
    <w:rsid w:val="009E3666"/>
    <w:rsid w:val="009E45C8"/>
    <w:rsid w:val="009F137B"/>
    <w:rsid w:val="009F233C"/>
    <w:rsid w:val="009F2BAE"/>
    <w:rsid w:val="009F3212"/>
    <w:rsid w:val="009F42B8"/>
    <w:rsid w:val="009F4EFE"/>
    <w:rsid w:val="009F5E25"/>
    <w:rsid w:val="009F5FE1"/>
    <w:rsid w:val="009F72D3"/>
    <w:rsid w:val="00A00641"/>
    <w:rsid w:val="00A0180C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6636"/>
    <w:rsid w:val="00A17231"/>
    <w:rsid w:val="00A172F0"/>
    <w:rsid w:val="00A204E4"/>
    <w:rsid w:val="00A20787"/>
    <w:rsid w:val="00A24B36"/>
    <w:rsid w:val="00A25051"/>
    <w:rsid w:val="00A2556F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447F"/>
    <w:rsid w:val="00A4580E"/>
    <w:rsid w:val="00A47361"/>
    <w:rsid w:val="00A47491"/>
    <w:rsid w:val="00A47B4C"/>
    <w:rsid w:val="00A52591"/>
    <w:rsid w:val="00A53FA1"/>
    <w:rsid w:val="00A54004"/>
    <w:rsid w:val="00A55002"/>
    <w:rsid w:val="00A57FAD"/>
    <w:rsid w:val="00A63164"/>
    <w:rsid w:val="00A635C3"/>
    <w:rsid w:val="00A66230"/>
    <w:rsid w:val="00A706B1"/>
    <w:rsid w:val="00A746C3"/>
    <w:rsid w:val="00A7637D"/>
    <w:rsid w:val="00A76B56"/>
    <w:rsid w:val="00A76EEE"/>
    <w:rsid w:val="00A80F50"/>
    <w:rsid w:val="00A82BB0"/>
    <w:rsid w:val="00A83855"/>
    <w:rsid w:val="00A83F39"/>
    <w:rsid w:val="00A86010"/>
    <w:rsid w:val="00A8721C"/>
    <w:rsid w:val="00A91471"/>
    <w:rsid w:val="00A918BF"/>
    <w:rsid w:val="00A93C70"/>
    <w:rsid w:val="00A94711"/>
    <w:rsid w:val="00A95A8D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6F22"/>
    <w:rsid w:val="00AC778E"/>
    <w:rsid w:val="00AD4F02"/>
    <w:rsid w:val="00AD7B75"/>
    <w:rsid w:val="00AD7E9F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469A"/>
    <w:rsid w:val="00B05799"/>
    <w:rsid w:val="00B05B39"/>
    <w:rsid w:val="00B05E80"/>
    <w:rsid w:val="00B069E2"/>
    <w:rsid w:val="00B07117"/>
    <w:rsid w:val="00B07174"/>
    <w:rsid w:val="00B0793B"/>
    <w:rsid w:val="00B07F40"/>
    <w:rsid w:val="00B110C8"/>
    <w:rsid w:val="00B1394C"/>
    <w:rsid w:val="00B13EF9"/>
    <w:rsid w:val="00B1515A"/>
    <w:rsid w:val="00B2191C"/>
    <w:rsid w:val="00B21D5D"/>
    <w:rsid w:val="00B22DAE"/>
    <w:rsid w:val="00B23459"/>
    <w:rsid w:val="00B23B4A"/>
    <w:rsid w:val="00B25387"/>
    <w:rsid w:val="00B2625E"/>
    <w:rsid w:val="00B27465"/>
    <w:rsid w:val="00B3078D"/>
    <w:rsid w:val="00B31ED3"/>
    <w:rsid w:val="00B32BEE"/>
    <w:rsid w:val="00B342F2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27AC"/>
    <w:rsid w:val="00B55D0B"/>
    <w:rsid w:val="00B5666A"/>
    <w:rsid w:val="00B610FC"/>
    <w:rsid w:val="00B61540"/>
    <w:rsid w:val="00B62701"/>
    <w:rsid w:val="00B630C4"/>
    <w:rsid w:val="00B6473A"/>
    <w:rsid w:val="00B64B37"/>
    <w:rsid w:val="00B653C6"/>
    <w:rsid w:val="00B663FF"/>
    <w:rsid w:val="00B6654C"/>
    <w:rsid w:val="00B677B7"/>
    <w:rsid w:val="00B70B30"/>
    <w:rsid w:val="00B713D4"/>
    <w:rsid w:val="00B72C0D"/>
    <w:rsid w:val="00B73F46"/>
    <w:rsid w:val="00B74EC6"/>
    <w:rsid w:val="00B76E51"/>
    <w:rsid w:val="00B779BD"/>
    <w:rsid w:val="00B810C4"/>
    <w:rsid w:val="00B829F8"/>
    <w:rsid w:val="00B850C6"/>
    <w:rsid w:val="00B85EBE"/>
    <w:rsid w:val="00B86967"/>
    <w:rsid w:val="00B870BF"/>
    <w:rsid w:val="00B904C8"/>
    <w:rsid w:val="00B92619"/>
    <w:rsid w:val="00B931DD"/>
    <w:rsid w:val="00B944D0"/>
    <w:rsid w:val="00B9497E"/>
    <w:rsid w:val="00B949F8"/>
    <w:rsid w:val="00B96613"/>
    <w:rsid w:val="00B96D79"/>
    <w:rsid w:val="00BA4975"/>
    <w:rsid w:val="00BA54A8"/>
    <w:rsid w:val="00BA6808"/>
    <w:rsid w:val="00BA6B70"/>
    <w:rsid w:val="00BA7074"/>
    <w:rsid w:val="00BB0063"/>
    <w:rsid w:val="00BB0409"/>
    <w:rsid w:val="00BB044E"/>
    <w:rsid w:val="00BB0744"/>
    <w:rsid w:val="00BB1903"/>
    <w:rsid w:val="00BB1E9C"/>
    <w:rsid w:val="00BB3464"/>
    <w:rsid w:val="00BB407A"/>
    <w:rsid w:val="00BB68C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2165"/>
    <w:rsid w:val="00BF4345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75D"/>
    <w:rsid w:val="00C211C1"/>
    <w:rsid w:val="00C21536"/>
    <w:rsid w:val="00C232B5"/>
    <w:rsid w:val="00C241E4"/>
    <w:rsid w:val="00C24831"/>
    <w:rsid w:val="00C24AF8"/>
    <w:rsid w:val="00C2540D"/>
    <w:rsid w:val="00C26BCB"/>
    <w:rsid w:val="00C26C78"/>
    <w:rsid w:val="00C270EB"/>
    <w:rsid w:val="00C31C0E"/>
    <w:rsid w:val="00C32834"/>
    <w:rsid w:val="00C32A0B"/>
    <w:rsid w:val="00C33106"/>
    <w:rsid w:val="00C3411A"/>
    <w:rsid w:val="00C371B0"/>
    <w:rsid w:val="00C4067B"/>
    <w:rsid w:val="00C4176A"/>
    <w:rsid w:val="00C41A09"/>
    <w:rsid w:val="00C42596"/>
    <w:rsid w:val="00C43DE7"/>
    <w:rsid w:val="00C451B7"/>
    <w:rsid w:val="00C50136"/>
    <w:rsid w:val="00C50F91"/>
    <w:rsid w:val="00C511B1"/>
    <w:rsid w:val="00C54818"/>
    <w:rsid w:val="00C55A7C"/>
    <w:rsid w:val="00C6015D"/>
    <w:rsid w:val="00C617C3"/>
    <w:rsid w:val="00C6221F"/>
    <w:rsid w:val="00C6459A"/>
    <w:rsid w:val="00C674E3"/>
    <w:rsid w:val="00C67AA6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094A"/>
    <w:rsid w:val="00CB1D01"/>
    <w:rsid w:val="00CB373C"/>
    <w:rsid w:val="00CB388D"/>
    <w:rsid w:val="00CB4672"/>
    <w:rsid w:val="00CB483D"/>
    <w:rsid w:val="00CB6876"/>
    <w:rsid w:val="00CB7AD1"/>
    <w:rsid w:val="00CC265D"/>
    <w:rsid w:val="00CC4184"/>
    <w:rsid w:val="00CC4543"/>
    <w:rsid w:val="00CC67E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24A"/>
    <w:rsid w:val="00CE4760"/>
    <w:rsid w:val="00CE5CBB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75A4"/>
    <w:rsid w:val="00D10A2F"/>
    <w:rsid w:val="00D10E29"/>
    <w:rsid w:val="00D11EC0"/>
    <w:rsid w:val="00D12B1A"/>
    <w:rsid w:val="00D13EF4"/>
    <w:rsid w:val="00D17E70"/>
    <w:rsid w:val="00D21EC4"/>
    <w:rsid w:val="00D226AC"/>
    <w:rsid w:val="00D2289F"/>
    <w:rsid w:val="00D23079"/>
    <w:rsid w:val="00D23C4F"/>
    <w:rsid w:val="00D24F52"/>
    <w:rsid w:val="00D25494"/>
    <w:rsid w:val="00D302F2"/>
    <w:rsid w:val="00D30A09"/>
    <w:rsid w:val="00D31FEC"/>
    <w:rsid w:val="00D32967"/>
    <w:rsid w:val="00D3463F"/>
    <w:rsid w:val="00D34B65"/>
    <w:rsid w:val="00D353E4"/>
    <w:rsid w:val="00D358CA"/>
    <w:rsid w:val="00D453AF"/>
    <w:rsid w:val="00D4545E"/>
    <w:rsid w:val="00D45921"/>
    <w:rsid w:val="00D4618C"/>
    <w:rsid w:val="00D51AAA"/>
    <w:rsid w:val="00D52175"/>
    <w:rsid w:val="00D5339A"/>
    <w:rsid w:val="00D53866"/>
    <w:rsid w:val="00D538E7"/>
    <w:rsid w:val="00D547B1"/>
    <w:rsid w:val="00D54979"/>
    <w:rsid w:val="00D552AF"/>
    <w:rsid w:val="00D55305"/>
    <w:rsid w:val="00D578B8"/>
    <w:rsid w:val="00D60552"/>
    <w:rsid w:val="00D6144C"/>
    <w:rsid w:val="00D6781A"/>
    <w:rsid w:val="00D714C5"/>
    <w:rsid w:val="00D71A15"/>
    <w:rsid w:val="00D71FEF"/>
    <w:rsid w:val="00D727EE"/>
    <w:rsid w:val="00D77576"/>
    <w:rsid w:val="00D80ED1"/>
    <w:rsid w:val="00D81AAA"/>
    <w:rsid w:val="00D846D4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5540"/>
    <w:rsid w:val="00DA6D21"/>
    <w:rsid w:val="00DB2263"/>
    <w:rsid w:val="00DB5A59"/>
    <w:rsid w:val="00DC1385"/>
    <w:rsid w:val="00DC2FAB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73C"/>
    <w:rsid w:val="00E22CC8"/>
    <w:rsid w:val="00E22F19"/>
    <w:rsid w:val="00E2548B"/>
    <w:rsid w:val="00E25F54"/>
    <w:rsid w:val="00E2680A"/>
    <w:rsid w:val="00E26A78"/>
    <w:rsid w:val="00E27191"/>
    <w:rsid w:val="00E27268"/>
    <w:rsid w:val="00E27C0D"/>
    <w:rsid w:val="00E30BE7"/>
    <w:rsid w:val="00E35894"/>
    <w:rsid w:val="00E40B9F"/>
    <w:rsid w:val="00E41261"/>
    <w:rsid w:val="00E4263E"/>
    <w:rsid w:val="00E43B5E"/>
    <w:rsid w:val="00E47802"/>
    <w:rsid w:val="00E47B14"/>
    <w:rsid w:val="00E509A6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748E"/>
    <w:rsid w:val="00E60A87"/>
    <w:rsid w:val="00E60C87"/>
    <w:rsid w:val="00E60E67"/>
    <w:rsid w:val="00E6102A"/>
    <w:rsid w:val="00E610C3"/>
    <w:rsid w:val="00E61638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8A6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6651"/>
    <w:rsid w:val="00E871DB"/>
    <w:rsid w:val="00E90BE6"/>
    <w:rsid w:val="00E91445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B0206"/>
    <w:rsid w:val="00EB13B7"/>
    <w:rsid w:val="00EB23C3"/>
    <w:rsid w:val="00EB30A2"/>
    <w:rsid w:val="00EB3BA8"/>
    <w:rsid w:val="00EB3BF0"/>
    <w:rsid w:val="00EB7731"/>
    <w:rsid w:val="00EC13A6"/>
    <w:rsid w:val="00EC15E5"/>
    <w:rsid w:val="00EC31BB"/>
    <w:rsid w:val="00EC4337"/>
    <w:rsid w:val="00EC4B84"/>
    <w:rsid w:val="00EC5E9B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89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0CE9"/>
    <w:rsid w:val="00F42F0C"/>
    <w:rsid w:val="00F4300A"/>
    <w:rsid w:val="00F442B7"/>
    <w:rsid w:val="00F44730"/>
    <w:rsid w:val="00F46684"/>
    <w:rsid w:val="00F46EAF"/>
    <w:rsid w:val="00F47205"/>
    <w:rsid w:val="00F50C4B"/>
    <w:rsid w:val="00F52177"/>
    <w:rsid w:val="00F522EC"/>
    <w:rsid w:val="00F52C60"/>
    <w:rsid w:val="00F567AB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4168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09A"/>
    <w:rsid w:val="00FA550A"/>
    <w:rsid w:val="00FA58D4"/>
    <w:rsid w:val="00FB2B31"/>
    <w:rsid w:val="00FB2ED9"/>
    <w:rsid w:val="00FB4EC7"/>
    <w:rsid w:val="00FB6B8D"/>
    <w:rsid w:val="00FC0BF8"/>
    <w:rsid w:val="00FC1391"/>
    <w:rsid w:val="00FC276F"/>
    <w:rsid w:val="00FC3087"/>
    <w:rsid w:val="00FC50D5"/>
    <w:rsid w:val="00FC6FDA"/>
    <w:rsid w:val="00FC7AEC"/>
    <w:rsid w:val="00FD1518"/>
    <w:rsid w:val="00FD156B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E74C0"/>
    <w:rsid w:val="00FE7D0C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6.1363826917469319E-2"/>
                  <c:y val="0.1469853768279000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3290390784485273"/>
                  <c:y val="-0.3538592050993724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8.1804279673374211E-2"/>
                  <c:y val="2.579365079365078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3178751093613297"/>
                  <c:y val="9.9206349206349656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142</c:v>
                </c:pt>
                <c:pt idx="1">
                  <c:v>289</c:v>
                </c:pt>
                <c:pt idx="2">
                  <c:v>97</c:v>
                </c:pt>
                <c:pt idx="3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9512977544474326E-2"/>
                  <c:y val="-0.3888888888889031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9.8959244677748637E-2"/>
                  <c:y val="6.44841269841270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624"/>
          <c:h val="0.7876984126985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24150900408282336"/>
                  <c:y val="-0.2015876140482438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8538258238553521"/>
                  <c:y val="0.106122672165980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30</c:v>
                </c:pt>
                <c:pt idx="1">
                  <c:v>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646"/>
          <c:h val="0.787698412698560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0215696996208807"/>
                  <c:y val="-0.2015873015873048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1574620880723297"/>
                  <c:y val="7.44044494438195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6388888888888895E-2"/>
                  <c:y val="-0.2924603174603174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205</c:v>
                </c:pt>
                <c:pt idx="1">
                  <c:v>245</c:v>
                </c:pt>
                <c:pt idx="2">
                  <c:v>66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68"/>
          <c:h val="0.7876984126985613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9984233741615653"/>
                  <c:y val="-0.17857174103237114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6.732210557013707E-2"/>
                  <c:y val="0.1350128108986377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0.19724391221930593"/>
                  <c:y val="-0.1487682789651295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2705253</c:v>
                </c:pt>
                <c:pt idx="1">
                  <c:v>1441653</c:v>
                </c:pt>
                <c:pt idx="2">
                  <c:v>3749278.61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406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 formatCode="#,##0">
                  <c:v>174</c:v>
                </c:pt>
                <c:pt idx="1">
                  <c:v>352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dLbl>
              <c:idx val="2"/>
              <c:layout>
                <c:manualLayout>
                  <c:x val="8.1540116308990787E-2"/>
                  <c:y val="0.1176600277906439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142</c:v>
                </c:pt>
                <c:pt idx="1">
                  <c:v>289</c:v>
                </c:pt>
                <c:pt idx="2">
                  <c:v>97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1919529980351568"/>
                  <c:y val="0.1962132985804687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5.9607493447286991E-3"/>
                  <c:y val="3.0923347038582311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Contoversia familiar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41</c:v>
                </c:pt>
                <c:pt idx="1">
                  <c:v>41</c:v>
                </c:pt>
                <c:pt idx="2">
                  <c:v>57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3336"/>
          <c:h val="0.787698412698553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221329104695248"/>
                  <c:y val="-0.22133639545056871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133</c:v>
                </c:pt>
                <c:pt idx="1">
                  <c:v>9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3624"/>
          <c:h val="0.7876984126985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71</c:v>
                </c:pt>
                <c:pt idx="1">
                  <c:v>85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7765028355424074E-2"/>
          <c:y val="0.1906799329453706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7.8056467928359033E-2"/>
                  <c:y val="0.1754791763221618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3913699527507972"/>
                  <c:y val="-0.2936218431612984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3.871735137937251E-2"/>
                  <c:y val="-0.1391444025639539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5647171682385043E-2"/>
                  <c:y val="0.1060148065062444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24740942284543635"/>
                  <c:y val="8.6327322058206632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9.9223707338599504E-2"/>
                  <c:y val="0.6412804972827086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9.2114148165535731E-2"/>
                  <c:y val="8.7342702654746682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5.0798557032676599E-2"/>
                  <c:y val="-4.1110619864062496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312878668028993"/>
                  <c:y val="2.8313126080268172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Hipotecaria</c:v>
                </c:pt>
                <c:pt idx="8">
                  <c:v>Garantía de Servicio</c:v>
                </c:pt>
                <c:pt idx="9">
                  <c:v>Reparación de daño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Posesión</c:v>
                </c:pt>
                <c:pt idx="13">
                  <c:v>Otros Asuntos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34</c:v>
                </c:pt>
                <c:pt idx="1">
                  <c:v>94</c:v>
                </c:pt>
                <c:pt idx="2">
                  <c:v>60</c:v>
                </c:pt>
                <c:pt idx="3">
                  <c:v>13</c:v>
                </c:pt>
                <c:pt idx="4">
                  <c:v>0</c:v>
                </c:pt>
                <c:pt idx="5">
                  <c:v>5</c:v>
                </c:pt>
                <c:pt idx="6">
                  <c:v>40</c:v>
                </c:pt>
                <c:pt idx="7">
                  <c:v>1</c:v>
                </c:pt>
                <c:pt idx="8">
                  <c:v>3</c:v>
                </c:pt>
                <c:pt idx="9">
                  <c:v>23</c:v>
                </c:pt>
                <c:pt idx="10">
                  <c:v>6</c:v>
                </c:pt>
                <c:pt idx="11">
                  <c:v>1</c:v>
                </c:pt>
                <c:pt idx="12">
                  <c:v>0</c:v>
                </c:pt>
                <c:pt idx="13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264</c:v>
                </c:pt>
                <c:pt idx="1">
                  <c:v>25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602"/>
          <c:h val="0.7876984126985593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-0.19907407407407407"/>
                  <c:y val="0.1164401324834401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73</c:v>
                </c:pt>
                <c:pt idx="1">
                  <c:v>219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2"/>
              <c:layout>
                <c:manualLayout>
                  <c:x val="0.12566414312046781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Titulos de Credito</c:v>
                </c:pt>
                <c:pt idx="1">
                  <c:v>Otros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94</c:v>
                </c:pt>
                <c:pt idx="1">
                  <c:v>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E66E-CFF3-424D-A2DE-EE4FA61E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2020-01-20T21:32:00Z</cp:lastPrinted>
  <dcterms:created xsi:type="dcterms:W3CDTF">2020-01-20T21:31:00Z</dcterms:created>
  <dcterms:modified xsi:type="dcterms:W3CDTF">2020-01-20T21:32:00Z</dcterms:modified>
</cp:coreProperties>
</file>