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86"/>
        <w:tblW w:w="13662" w:type="dxa"/>
        <w:tblCellMar>
          <w:left w:w="0" w:type="dxa"/>
          <w:right w:w="0" w:type="dxa"/>
        </w:tblCellMar>
        <w:tblLook w:val="0600" w:firstRow="0" w:lastRow="0" w:firstColumn="0" w:lastColumn="0" w:noHBand="1" w:noVBand="1"/>
      </w:tblPr>
      <w:tblGrid>
        <w:gridCol w:w="2704"/>
        <w:gridCol w:w="6237"/>
        <w:gridCol w:w="1559"/>
        <w:gridCol w:w="1559"/>
        <w:gridCol w:w="1603"/>
      </w:tblGrid>
      <w:tr w:rsidR="0052474F" w:rsidRPr="0052474F" w:rsidTr="007C38D1">
        <w:trPr>
          <w:trHeight w:val="437"/>
          <w:tblHeader/>
        </w:trPr>
        <w:tc>
          <w:tcPr>
            <w:tcW w:w="2704"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52474F" w:rsidRPr="0052474F" w:rsidRDefault="0052474F" w:rsidP="007C38D1">
            <w:pPr>
              <w:spacing w:after="0" w:line="240" w:lineRule="auto"/>
              <w:jc w:val="center"/>
              <w:textAlignment w:val="center"/>
              <w:rPr>
                <w:rFonts w:ascii="Arial" w:eastAsia="Times New Roman" w:hAnsi="Arial" w:cs="Arial"/>
                <w:sz w:val="36"/>
                <w:szCs w:val="36"/>
                <w:lang w:eastAsia="es-MX"/>
              </w:rPr>
            </w:pPr>
            <w:bookmarkStart w:id="0" w:name="_GoBack"/>
            <w:bookmarkEnd w:id="0"/>
            <w:r w:rsidRPr="0052474F">
              <w:rPr>
                <w:rFonts w:ascii="Calibri" w:eastAsia="Times New Roman" w:hAnsi="Calibri" w:cs="Arial"/>
                <w:b/>
                <w:bCs/>
                <w:color w:val="000000" w:themeColor="text1"/>
                <w:kern w:val="24"/>
                <w:sz w:val="20"/>
                <w:szCs w:val="20"/>
                <w:lang w:eastAsia="es-MX"/>
              </w:rPr>
              <w:t xml:space="preserve">Concepto </w:t>
            </w:r>
          </w:p>
        </w:tc>
        <w:tc>
          <w:tcPr>
            <w:tcW w:w="6237"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52474F" w:rsidRPr="0052474F" w:rsidRDefault="0052474F" w:rsidP="007C38D1">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Requerimientos</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52474F" w:rsidRPr="0052474F" w:rsidRDefault="00F35053" w:rsidP="007C38D1">
            <w:pPr>
              <w:spacing w:after="0" w:line="240" w:lineRule="auto"/>
              <w:jc w:val="center"/>
              <w:textAlignment w:val="center"/>
              <w:rPr>
                <w:rFonts w:ascii="Arial" w:eastAsia="Times New Roman" w:hAnsi="Arial" w:cs="Arial"/>
                <w:sz w:val="36"/>
                <w:szCs w:val="36"/>
                <w:lang w:eastAsia="es-MX"/>
              </w:rPr>
            </w:pPr>
            <w:r>
              <w:rPr>
                <w:rFonts w:ascii="Calibri" w:eastAsia="Times New Roman" w:hAnsi="Calibri" w:cs="Arial"/>
                <w:b/>
                <w:bCs/>
                <w:color w:val="000000" w:themeColor="text1"/>
                <w:kern w:val="24"/>
                <w:sz w:val="20"/>
                <w:szCs w:val="20"/>
                <w:lang w:eastAsia="es-MX"/>
              </w:rPr>
              <w:t>Inversión Inicial</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52474F" w:rsidRPr="0052474F" w:rsidRDefault="0052474F" w:rsidP="007C38D1">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Gasto con afectación anual</w:t>
            </w:r>
          </w:p>
        </w:tc>
        <w:tc>
          <w:tcPr>
            <w:tcW w:w="1603"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52474F" w:rsidRPr="0052474F" w:rsidRDefault="0052474F" w:rsidP="007C38D1">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Total Implementación</w:t>
            </w:r>
          </w:p>
        </w:tc>
      </w:tr>
      <w:tr w:rsidR="004C2985" w:rsidRPr="0052474F" w:rsidTr="00653B28">
        <w:trPr>
          <w:trHeight w:val="2012"/>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eastAsiaTheme="minorEastAsia" w:hAnsi="Calibri"/>
                <w:color w:val="000000" w:themeColor="text1"/>
                <w:kern w:val="24"/>
                <w:sz w:val="20"/>
                <w:szCs w:val="20"/>
                <w:lang w:eastAsia="es-MX"/>
              </w:rPr>
              <w:t>Especialización de Jueces del Sistema de Justicia Penal Oral</w:t>
            </w: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15 jueces especializados</w:t>
            </w:r>
          </w:p>
          <w:p w:rsidR="0052474F" w:rsidRPr="003F6A99" w:rsidRDefault="0052474F" w:rsidP="007C38D1">
            <w:pPr>
              <w:spacing w:after="0" w:line="240" w:lineRule="auto"/>
              <w:contextualSpacing/>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xml:space="preserve">        -6  en Mexicali: (2) Narcomenudeo, (2) Robo de vehículos, (2) Violencia intrafamiliar y contra la mujer.</w:t>
            </w:r>
          </w:p>
          <w:p w:rsidR="0052474F" w:rsidRPr="003F6A99" w:rsidRDefault="0052474F" w:rsidP="007C38D1">
            <w:pPr>
              <w:spacing w:after="0" w:line="240" w:lineRule="auto"/>
              <w:contextualSpacing/>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xml:space="preserve">        -6  en Tijuana: (2) Narcomenudeo, (2) Robo de vehículos, (2) Violencia intrafamiliar y contra la mujer.</w:t>
            </w:r>
          </w:p>
          <w:p w:rsidR="0052474F" w:rsidRPr="003F6A99" w:rsidRDefault="0052474F" w:rsidP="007C38D1">
            <w:pPr>
              <w:spacing w:after="0" w:line="240" w:lineRule="auto"/>
              <w:contextualSpacing/>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xml:space="preserve">        -3  en Ensenada: (1) Narcomenudeo, (1) Robo de vehículos, (1) Violencia intrafamiliar y contra la mujer.</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Requerimiento mínimo de personal (6 personas por partido judicial)</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5 salas de audiencias: (2) Mexicali, (2) Tijuana y (1) Ensenada.</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Equipamiento y mobiliario</w:t>
            </w:r>
          </w:p>
          <w:p w:rsidR="008A68D3" w:rsidRPr="003F6A99" w:rsidRDefault="0052474F"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xml:space="preserve">• Reubicación de espacios                               </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Gasto operativo</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653B28">
            <w:pPr>
              <w:spacing w:after="0" w:line="240" w:lineRule="auto"/>
              <w:ind w:right="132"/>
              <w:jc w:val="right"/>
              <w:textAlignment w:val="center"/>
              <w:rPr>
                <w:rFonts w:ascii="Arial" w:eastAsia="Times New Roman" w:hAnsi="Arial" w:cs="Arial"/>
                <w:sz w:val="20"/>
                <w:szCs w:val="20"/>
                <w:lang w:eastAsia="es-MX"/>
              </w:rPr>
            </w:pPr>
            <w:r w:rsidRPr="003F6A99">
              <w:rPr>
                <w:rFonts w:eastAsiaTheme="minorEastAsia" w:hAnsi="Calibri"/>
                <w:color w:val="000000" w:themeColor="text1"/>
                <w:kern w:val="24"/>
                <w:sz w:val="20"/>
                <w:szCs w:val="20"/>
                <w:lang w:eastAsia="es-MX"/>
              </w:rPr>
              <w:t>$ 8,428,497.40</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653B28">
            <w:pPr>
              <w:spacing w:after="0" w:line="240" w:lineRule="auto"/>
              <w:ind w:right="132"/>
              <w:jc w:val="right"/>
              <w:textAlignment w:val="center"/>
              <w:rPr>
                <w:rFonts w:ascii="Arial" w:eastAsia="Times New Roman" w:hAnsi="Arial" w:cs="Arial"/>
                <w:sz w:val="20"/>
                <w:szCs w:val="20"/>
                <w:lang w:eastAsia="es-MX"/>
              </w:rPr>
            </w:pPr>
            <w:r w:rsidRPr="003F6A99">
              <w:rPr>
                <w:rFonts w:eastAsiaTheme="minorEastAsia" w:hAnsi="Calibri"/>
                <w:color w:val="000000" w:themeColor="text1"/>
                <w:kern w:val="24"/>
                <w:sz w:val="20"/>
                <w:szCs w:val="20"/>
                <w:lang w:eastAsia="es-MX"/>
              </w:rPr>
              <w:t xml:space="preserve"> $ 19,211,794.02</w:t>
            </w: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653B28">
            <w:pPr>
              <w:spacing w:after="0" w:line="240" w:lineRule="auto"/>
              <w:ind w:right="132"/>
              <w:jc w:val="right"/>
              <w:textAlignment w:val="center"/>
              <w:rPr>
                <w:rFonts w:ascii="Arial" w:eastAsia="Times New Roman" w:hAnsi="Arial" w:cs="Arial"/>
                <w:sz w:val="20"/>
                <w:szCs w:val="20"/>
                <w:lang w:eastAsia="es-MX"/>
              </w:rPr>
            </w:pPr>
            <w:r w:rsidRPr="003F6A99">
              <w:rPr>
                <w:rFonts w:eastAsiaTheme="minorEastAsia" w:hAnsi="Calibri"/>
                <w:b/>
                <w:bCs/>
                <w:color w:val="000000" w:themeColor="text1"/>
                <w:kern w:val="24"/>
                <w:sz w:val="20"/>
                <w:szCs w:val="20"/>
                <w:lang w:eastAsia="es-MX"/>
              </w:rPr>
              <w:t>$ 27,640,291.42</w:t>
            </w:r>
          </w:p>
        </w:tc>
      </w:tr>
      <w:tr w:rsidR="004C2985" w:rsidRPr="0052474F" w:rsidTr="00653B28">
        <w:trPr>
          <w:trHeight w:val="1690"/>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eastAsiaTheme="minorEastAsia" w:hAnsi="Calibri"/>
                <w:color w:val="000000" w:themeColor="text1"/>
                <w:kern w:val="24"/>
                <w:sz w:val="20"/>
                <w:szCs w:val="20"/>
                <w:lang w:eastAsia="es-MX"/>
              </w:rPr>
              <w:t>Implementación de Justicia Terapéutica en Baja California</w:t>
            </w: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7A1616" w:rsidP="007C38D1">
            <w:pPr>
              <w:spacing w:after="0" w:line="240" w:lineRule="auto"/>
              <w:textAlignment w:val="center"/>
              <w:rPr>
                <w:rFonts w:ascii="Arial" w:eastAsia="Times New Roman" w:hAnsi="Arial" w:cs="Arial"/>
                <w:sz w:val="20"/>
                <w:szCs w:val="20"/>
                <w:lang w:eastAsia="es-MX"/>
              </w:rPr>
            </w:pPr>
            <w:r>
              <w:rPr>
                <w:rFonts w:ascii="Calibri" w:eastAsia="Times New Roman" w:hAnsi="Calibri" w:cs="Arial"/>
                <w:color w:val="000000" w:themeColor="text1"/>
                <w:kern w:val="24"/>
                <w:sz w:val="20"/>
                <w:szCs w:val="20"/>
                <w:lang w:eastAsia="es-MX"/>
              </w:rPr>
              <w:t xml:space="preserve">•Plantilla mínima </w:t>
            </w:r>
            <w:r w:rsidR="0052474F" w:rsidRPr="003F6A99">
              <w:rPr>
                <w:rFonts w:ascii="Calibri" w:eastAsia="Times New Roman" w:hAnsi="Calibri" w:cs="Arial"/>
                <w:color w:val="000000" w:themeColor="text1"/>
                <w:kern w:val="24"/>
                <w:sz w:val="20"/>
                <w:szCs w:val="20"/>
                <w:lang w:eastAsia="es-MX"/>
              </w:rPr>
              <w:t>Justicia Terapéutica  Mexicali  (8 personas)</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•Unidad Administrativa de la Comisión Interinstitucional  de Justicia Terapéutica  (2 personas)</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 xml:space="preserve">•Acondicionamiento de espacios, mobiliario  y equipamiento  incluyendo  Sala de Audiencias                                            </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•Gasto operativo</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B066FE" w:rsidP="00653B28">
            <w:pPr>
              <w:spacing w:after="0" w:line="240" w:lineRule="auto"/>
              <w:ind w:right="132"/>
              <w:jc w:val="right"/>
              <w:textAlignment w:val="center"/>
              <w:rPr>
                <w:rFonts w:ascii="Arial" w:eastAsia="Times New Roman" w:hAnsi="Arial" w:cs="Arial"/>
                <w:sz w:val="20"/>
                <w:szCs w:val="20"/>
                <w:lang w:eastAsia="es-MX"/>
              </w:rPr>
            </w:pPr>
            <w:r>
              <w:rPr>
                <w:rFonts w:eastAsiaTheme="minorEastAsia" w:hAnsi="Calibri"/>
                <w:color w:val="000000" w:themeColor="text1"/>
                <w:kern w:val="24"/>
                <w:sz w:val="20"/>
                <w:szCs w:val="20"/>
                <w:lang w:eastAsia="es-MX"/>
              </w:rPr>
              <w:t>2,841,250.90</w:t>
            </w:r>
            <w:r w:rsidR="0052474F" w:rsidRPr="003F6A99">
              <w:rPr>
                <w:rFonts w:eastAsiaTheme="minorEastAsia" w:hAnsi="Calibri"/>
                <w:color w:val="000000" w:themeColor="text1"/>
                <w:kern w:val="24"/>
                <w:sz w:val="20"/>
                <w:szCs w:val="20"/>
                <w:lang w:eastAsia="es-MX"/>
              </w:rPr>
              <w:t xml:space="preserve"> </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653B28" w:rsidP="00653B28">
            <w:pPr>
              <w:spacing w:after="0" w:line="240" w:lineRule="auto"/>
              <w:ind w:right="132"/>
              <w:jc w:val="right"/>
              <w:textAlignment w:val="center"/>
              <w:rPr>
                <w:rFonts w:ascii="Arial" w:eastAsia="Times New Roman" w:hAnsi="Arial" w:cs="Arial"/>
                <w:sz w:val="20"/>
                <w:szCs w:val="20"/>
                <w:lang w:eastAsia="es-MX"/>
              </w:rPr>
            </w:pPr>
            <w:r>
              <w:rPr>
                <w:rFonts w:eastAsiaTheme="minorEastAsia" w:hAnsi="Calibri"/>
                <w:color w:val="000000" w:themeColor="text1"/>
                <w:kern w:val="24"/>
                <w:sz w:val="20"/>
                <w:szCs w:val="20"/>
                <w:lang w:eastAsia="es-MX"/>
              </w:rPr>
              <w:t xml:space="preserve">    </w:t>
            </w:r>
            <w:r w:rsidR="00B066FE">
              <w:rPr>
                <w:rFonts w:eastAsiaTheme="minorEastAsia" w:hAnsi="Calibri"/>
                <w:color w:val="000000" w:themeColor="text1"/>
                <w:kern w:val="24"/>
                <w:sz w:val="20"/>
                <w:szCs w:val="20"/>
                <w:lang w:eastAsia="es-MX"/>
              </w:rPr>
              <w:t>5,358,820.90</w:t>
            </w:r>
            <w:r w:rsidR="0052474F" w:rsidRPr="003F6A99">
              <w:rPr>
                <w:rFonts w:eastAsiaTheme="minorEastAsia" w:hAnsi="Calibri"/>
                <w:color w:val="000000" w:themeColor="text1"/>
                <w:kern w:val="24"/>
                <w:sz w:val="20"/>
                <w:szCs w:val="20"/>
                <w:lang w:eastAsia="es-MX"/>
              </w:rPr>
              <w:t xml:space="preserve">  </w:t>
            </w: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653B28" w:rsidP="00653B28">
            <w:pPr>
              <w:spacing w:after="0" w:line="240" w:lineRule="auto"/>
              <w:ind w:right="132"/>
              <w:jc w:val="right"/>
              <w:textAlignment w:val="center"/>
              <w:rPr>
                <w:rFonts w:ascii="Arial" w:eastAsia="Times New Roman" w:hAnsi="Arial" w:cs="Arial"/>
                <w:sz w:val="20"/>
                <w:szCs w:val="20"/>
                <w:lang w:eastAsia="es-MX"/>
              </w:rPr>
            </w:pPr>
            <w:r>
              <w:rPr>
                <w:rFonts w:eastAsiaTheme="minorEastAsia" w:hAnsi="Calibri"/>
                <w:b/>
                <w:bCs/>
                <w:color w:val="000000" w:themeColor="text1"/>
                <w:kern w:val="24"/>
                <w:sz w:val="20"/>
                <w:szCs w:val="20"/>
                <w:lang w:eastAsia="es-MX"/>
              </w:rPr>
              <w:t xml:space="preserve">      </w:t>
            </w:r>
            <w:r w:rsidR="00B066FE">
              <w:rPr>
                <w:rFonts w:eastAsiaTheme="minorEastAsia" w:hAnsi="Calibri"/>
                <w:b/>
                <w:bCs/>
                <w:color w:val="000000" w:themeColor="text1"/>
                <w:kern w:val="24"/>
                <w:sz w:val="20"/>
                <w:szCs w:val="20"/>
                <w:lang w:eastAsia="es-MX"/>
              </w:rPr>
              <w:t>8,200,071.80</w:t>
            </w:r>
            <w:r w:rsidR="0052474F" w:rsidRPr="003F6A99">
              <w:rPr>
                <w:rFonts w:eastAsiaTheme="minorEastAsia" w:hAnsi="Calibri"/>
                <w:b/>
                <w:bCs/>
                <w:color w:val="000000" w:themeColor="text1"/>
                <w:kern w:val="24"/>
                <w:sz w:val="20"/>
                <w:szCs w:val="20"/>
                <w:lang w:eastAsia="es-MX"/>
              </w:rPr>
              <w:t xml:space="preserve"> </w:t>
            </w:r>
          </w:p>
        </w:tc>
      </w:tr>
      <w:tr w:rsidR="004C2985" w:rsidRPr="0052474F" w:rsidTr="00653B28">
        <w:trPr>
          <w:trHeight w:val="1998"/>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4C2985" w:rsidP="007C38D1">
            <w:pPr>
              <w:spacing w:after="0" w:line="240" w:lineRule="auto"/>
              <w:textAlignment w:val="center"/>
              <w:rPr>
                <w:rFonts w:ascii="Arial" w:eastAsia="Times New Roman" w:hAnsi="Arial" w:cs="Arial"/>
                <w:sz w:val="20"/>
                <w:szCs w:val="20"/>
                <w:lang w:eastAsia="es-MX"/>
              </w:rPr>
            </w:pPr>
            <w:r w:rsidRPr="003F6A99">
              <w:rPr>
                <w:rFonts w:eastAsiaTheme="minorEastAsia" w:hAnsi="Calibri"/>
                <w:color w:val="000000" w:themeColor="text1"/>
                <w:kern w:val="24"/>
                <w:sz w:val="20"/>
                <w:szCs w:val="20"/>
                <w:lang w:eastAsia="es-MX"/>
              </w:rPr>
              <w:t xml:space="preserve">Construcción de </w:t>
            </w:r>
            <w:r w:rsidR="0052474F" w:rsidRPr="003F6A99">
              <w:rPr>
                <w:rFonts w:eastAsiaTheme="minorEastAsia" w:hAnsi="Calibri"/>
                <w:color w:val="000000" w:themeColor="text1"/>
                <w:kern w:val="24"/>
                <w:sz w:val="20"/>
                <w:szCs w:val="20"/>
                <w:lang w:eastAsia="es-MX"/>
              </w:rPr>
              <w:t>Salas Civiles Unitarias y Delegación SGA (Edificio De Juzgados Civiles y Familiares Tijuana)</w:t>
            </w: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4C2985" w:rsidRPr="003F6A99" w:rsidRDefault="004C2985"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sidR="00B12CB8" w:rsidRPr="003F6A99">
              <w:rPr>
                <w:rFonts w:ascii="Calibri" w:eastAsia="Times New Roman" w:hAnsi="Calibri" w:cs="Arial"/>
                <w:color w:val="000000" w:themeColor="text1"/>
                <w:kern w:val="24"/>
                <w:sz w:val="20"/>
                <w:szCs w:val="20"/>
                <w:lang w:eastAsia="es-MX"/>
              </w:rPr>
              <w:t xml:space="preserve"> Construcción anexa a edificio Juzgados Civiles y Familiares Tijuana para</w:t>
            </w:r>
            <w:r w:rsidRPr="003F6A99">
              <w:rPr>
                <w:rFonts w:ascii="Calibri" w:eastAsia="Times New Roman" w:hAnsi="Calibri" w:cs="Arial"/>
                <w:color w:val="000000" w:themeColor="text1"/>
                <w:kern w:val="24"/>
                <w:sz w:val="20"/>
                <w:szCs w:val="20"/>
                <w:lang w:eastAsia="es-MX"/>
              </w:rPr>
              <w:t xml:space="preserve">: </w:t>
            </w:r>
          </w:p>
          <w:p w:rsidR="004C2985" w:rsidRPr="003F6A99" w:rsidRDefault="004C2985"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sidR="0052474F" w:rsidRPr="003F6A99">
              <w:rPr>
                <w:rFonts w:ascii="Calibri" w:eastAsia="Times New Roman" w:hAnsi="Calibri" w:cs="Arial"/>
                <w:color w:val="000000" w:themeColor="text1"/>
                <w:kern w:val="24"/>
                <w:sz w:val="20"/>
                <w:szCs w:val="20"/>
                <w:lang w:eastAsia="es-MX"/>
              </w:rPr>
              <w:t>3 Salas Unitarias Civiles (21 personas)</w:t>
            </w:r>
            <w:r w:rsidR="008A68D3" w:rsidRPr="003F6A99">
              <w:rPr>
                <w:rFonts w:ascii="Calibri" w:eastAsia="Times New Roman" w:hAnsi="Calibri" w:cs="Arial"/>
                <w:color w:val="000000" w:themeColor="text1"/>
                <w:kern w:val="24"/>
                <w:sz w:val="20"/>
                <w:szCs w:val="20"/>
                <w:lang w:eastAsia="es-MX"/>
              </w:rPr>
              <w:t xml:space="preserve">, </w:t>
            </w:r>
            <w:r w:rsidR="0052474F" w:rsidRPr="003F6A99">
              <w:rPr>
                <w:rFonts w:ascii="Calibri" w:eastAsia="Times New Roman" w:hAnsi="Calibri" w:cs="Arial"/>
                <w:color w:val="000000" w:themeColor="text1"/>
                <w:kern w:val="24"/>
                <w:sz w:val="20"/>
                <w:szCs w:val="20"/>
                <w:lang w:eastAsia="es-MX"/>
              </w:rPr>
              <w:t>Delegación Secretaría Ge</w:t>
            </w:r>
            <w:r w:rsidRPr="003F6A99">
              <w:rPr>
                <w:rFonts w:ascii="Calibri" w:eastAsia="Times New Roman" w:hAnsi="Calibri" w:cs="Arial"/>
                <w:color w:val="000000" w:themeColor="text1"/>
                <w:kern w:val="24"/>
                <w:sz w:val="20"/>
                <w:szCs w:val="20"/>
                <w:lang w:eastAsia="es-MX"/>
              </w:rPr>
              <w:t>neral de Acuerdos  Zona Costa (3</w:t>
            </w:r>
            <w:r w:rsidR="0052474F" w:rsidRPr="003F6A99">
              <w:rPr>
                <w:rFonts w:ascii="Calibri" w:eastAsia="Times New Roman" w:hAnsi="Calibri" w:cs="Arial"/>
                <w:color w:val="000000" w:themeColor="text1"/>
                <w:kern w:val="24"/>
                <w:sz w:val="20"/>
                <w:szCs w:val="20"/>
                <w:lang w:eastAsia="es-MX"/>
              </w:rPr>
              <w:t xml:space="preserve"> personas)</w:t>
            </w:r>
            <w:r w:rsidR="008A68D3" w:rsidRPr="003F6A99">
              <w:rPr>
                <w:rFonts w:ascii="Calibri" w:eastAsia="Times New Roman" w:hAnsi="Calibri" w:cs="Arial"/>
                <w:color w:val="000000" w:themeColor="text1"/>
                <w:kern w:val="24"/>
                <w:sz w:val="20"/>
                <w:szCs w:val="20"/>
                <w:lang w:eastAsia="es-MX"/>
              </w:rPr>
              <w:t xml:space="preserve">, </w:t>
            </w:r>
            <w:r w:rsidR="0052474F" w:rsidRPr="003F6A99">
              <w:rPr>
                <w:rFonts w:ascii="Calibri" w:eastAsia="Times New Roman" w:hAnsi="Calibri" w:cs="Arial"/>
                <w:color w:val="000000" w:themeColor="text1"/>
                <w:kern w:val="24"/>
                <w:sz w:val="20"/>
                <w:szCs w:val="20"/>
                <w:lang w:eastAsia="es-MX"/>
              </w:rPr>
              <w:t>Se</w:t>
            </w:r>
            <w:r w:rsidR="008A68D3" w:rsidRPr="003F6A99">
              <w:rPr>
                <w:rFonts w:ascii="Calibri" w:eastAsia="Times New Roman" w:hAnsi="Calibri" w:cs="Arial"/>
                <w:color w:val="000000" w:themeColor="text1"/>
                <w:kern w:val="24"/>
                <w:sz w:val="20"/>
                <w:szCs w:val="20"/>
                <w:lang w:eastAsia="es-MX"/>
              </w:rPr>
              <w:t xml:space="preserve">cción Civil (7 personas), </w:t>
            </w:r>
            <w:r w:rsidR="0052474F" w:rsidRPr="003F6A99">
              <w:rPr>
                <w:rFonts w:ascii="Calibri" w:eastAsia="Times New Roman" w:hAnsi="Calibri" w:cs="Arial"/>
                <w:color w:val="000000" w:themeColor="text1"/>
                <w:kern w:val="24"/>
                <w:sz w:val="20"/>
                <w:szCs w:val="20"/>
                <w:lang w:eastAsia="es-MX"/>
              </w:rPr>
              <w:t xml:space="preserve">Sección Amparos (6 personas) </w:t>
            </w:r>
          </w:p>
          <w:p w:rsidR="004C2985" w:rsidRPr="003F6A99" w:rsidRDefault="004C2985"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•Costo plantilla</w:t>
            </w:r>
          </w:p>
          <w:p w:rsidR="004C2985" w:rsidRPr="003F6A99" w:rsidRDefault="004C2985"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xml:space="preserve">•Equipamiento </w:t>
            </w:r>
          </w:p>
          <w:p w:rsidR="0052474F" w:rsidRPr="003F6A99" w:rsidRDefault="0052474F" w:rsidP="007C38D1">
            <w:pPr>
              <w:spacing w:after="0" w:line="240" w:lineRule="auto"/>
              <w:textAlignment w:val="center"/>
              <w:rPr>
                <w:rFonts w:ascii="Arial" w:eastAsia="Times New Roman" w:hAnsi="Arial" w:cs="Arial"/>
                <w:sz w:val="20"/>
                <w:szCs w:val="20"/>
                <w:lang w:eastAsia="es-MX"/>
              </w:rPr>
            </w:pPr>
            <w:r w:rsidRPr="003F6A99">
              <w:rPr>
                <w:rFonts w:ascii="Calibri" w:eastAsia="Times New Roman" w:hAnsi="Calibri" w:cs="Arial"/>
                <w:color w:val="000000" w:themeColor="text1"/>
                <w:kern w:val="24"/>
                <w:sz w:val="20"/>
                <w:szCs w:val="20"/>
                <w:lang w:eastAsia="es-MX"/>
              </w:rPr>
              <w:t>•Gasto operativo</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52474F" w:rsidP="00653B28">
            <w:pPr>
              <w:spacing w:after="0" w:line="240" w:lineRule="auto"/>
              <w:ind w:right="132"/>
              <w:jc w:val="right"/>
              <w:textAlignment w:val="center"/>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 xml:space="preserve">     </w:t>
            </w:r>
            <w:r w:rsidR="004C2985" w:rsidRPr="003F6A99">
              <w:rPr>
                <w:rFonts w:eastAsiaTheme="minorEastAsia" w:hAnsi="Calibri"/>
                <w:color w:val="000000" w:themeColor="text1"/>
                <w:kern w:val="24"/>
                <w:sz w:val="20"/>
                <w:szCs w:val="20"/>
                <w:lang w:eastAsia="es-MX"/>
              </w:rPr>
              <w:t>15,267,345.04</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4C2985" w:rsidP="00653B28">
            <w:pPr>
              <w:spacing w:after="0" w:line="240" w:lineRule="auto"/>
              <w:ind w:right="132"/>
              <w:jc w:val="right"/>
              <w:textAlignment w:val="center"/>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17,811,382.37</w:t>
            </w: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4C2985" w:rsidRPr="003F6A99" w:rsidRDefault="0052474F" w:rsidP="00653B28">
            <w:pPr>
              <w:ind w:right="132"/>
              <w:jc w:val="right"/>
              <w:textAlignment w:val="center"/>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 xml:space="preserve">     </w:t>
            </w:r>
          </w:p>
          <w:p w:rsidR="004C2985" w:rsidRPr="003F6A99" w:rsidRDefault="0052474F" w:rsidP="00653B28">
            <w:pPr>
              <w:ind w:right="132"/>
              <w:jc w:val="right"/>
              <w:textAlignment w:val="center"/>
              <w:rPr>
                <w:rFonts w:eastAsiaTheme="minorEastAsia" w:hAnsi="Calibri"/>
                <w:b/>
                <w:color w:val="000000" w:themeColor="text1"/>
                <w:kern w:val="24"/>
                <w:sz w:val="20"/>
                <w:szCs w:val="20"/>
                <w:lang w:eastAsia="es-MX"/>
              </w:rPr>
            </w:pPr>
            <w:r w:rsidRPr="003F6A99">
              <w:rPr>
                <w:rFonts w:eastAsiaTheme="minorEastAsia" w:hAnsi="Calibri"/>
                <w:b/>
                <w:color w:val="000000" w:themeColor="text1"/>
                <w:kern w:val="24"/>
                <w:sz w:val="20"/>
                <w:szCs w:val="20"/>
                <w:lang w:eastAsia="es-MX"/>
              </w:rPr>
              <w:t xml:space="preserve">   </w:t>
            </w:r>
            <w:r w:rsidR="004C2985" w:rsidRPr="003F6A99">
              <w:rPr>
                <w:rFonts w:eastAsiaTheme="minorEastAsia" w:hAnsi="Calibri"/>
                <w:b/>
                <w:color w:val="000000" w:themeColor="text1"/>
                <w:kern w:val="24"/>
                <w:sz w:val="20"/>
                <w:szCs w:val="20"/>
                <w:lang w:eastAsia="es-MX"/>
              </w:rPr>
              <w:t>33,078,727.41</w:t>
            </w:r>
          </w:p>
          <w:p w:rsidR="0052474F" w:rsidRPr="003F6A99" w:rsidRDefault="0052474F" w:rsidP="00653B28">
            <w:pPr>
              <w:spacing w:after="0" w:line="240" w:lineRule="auto"/>
              <w:ind w:right="132"/>
              <w:jc w:val="right"/>
              <w:textAlignment w:val="center"/>
              <w:rPr>
                <w:rFonts w:eastAsiaTheme="minorEastAsia" w:hAnsi="Calibri"/>
                <w:color w:val="000000" w:themeColor="text1"/>
                <w:kern w:val="24"/>
                <w:sz w:val="20"/>
                <w:szCs w:val="20"/>
                <w:lang w:eastAsia="es-MX"/>
              </w:rPr>
            </w:pPr>
          </w:p>
        </w:tc>
      </w:tr>
      <w:tr w:rsidR="004C2985" w:rsidRPr="0052474F" w:rsidTr="00653B28">
        <w:trPr>
          <w:trHeight w:val="563"/>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8A68D3" w:rsidRPr="003F6A99" w:rsidRDefault="008A68D3" w:rsidP="007C38D1">
            <w:pPr>
              <w:spacing w:after="0" w:line="240" w:lineRule="auto"/>
              <w:textAlignment w:val="center"/>
              <w:rPr>
                <w:rFonts w:eastAsiaTheme="minorEastAsia" w:hAnsi="Calibri"/>
                <w:color w:val="000000" w:themeColor="text1"/>
                <w:kern w:val="24"/>
                <w:sz w:val="20"/>
                <w:szCs w:val="20"/>
                <w:lang w:eastAsia="es-MX"/>
              </w:rPr>
            </w:pPr>
          </w:p>
          <w:p w:rsidR="008A68D3" w:rsidRPr="003F6A99" w:rsidRDefault="008A68D3" w:rsidP="007C38D1">
            <w:pPr>
              <w:spacing w:after="0" w:line="240" w:lineRule="auto"/>
              <w:textAlignment w:val="center"/>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Propuesta Sala Penal Unitaria</w:t>
            </w:r>
          </w:p>
          <w:p w:rsidR="008A68D3" w:rsidRPr="003F6A99" w:rsidRDefault="008A68D3" w:rsidP="007C38D1">
            <w:pPr>
              <w:spacing w:after="0" w:line="240" w:lineRule="auto"/>
              <w:textAlignment w:val="center"/>
              <w:rPr>
                <w:rFonts w:ascii="Arial" w:eastAsia="Times New Roman" w:hAnsi="Arial" w:cs="Arial"/>
                <w:sz w:val="20"/>
                <w:szCs w:val="20"/>
                <w:lang w:eastAsia="es-MX"/>
              </w:rPr>
            </w:pPr>
            <w:r w:rsidRPr="003F6A99">
              <w:rPr>
                <w:rFonts w:eastAsiaTheme="minorEastAsia" w:hAnsi="Calibri"/>
                <w:color w:val="000000" w:themeColor="text1"/>
                <w:kern w:val="24"/>
                <w:sz w:val="20"/>
                <w:szCs w:val="20"/>
                <w:lang w:eastAsia="es-MX"/>
              </w:rPr>
              <w:t>(Edificio Juzgados  Penales Tijuana)</w:t>
            </w:r>
          </w:p>
          <w:p w:rsidR="0052474F" w:rsidRPr="003F6A99" w:rsidRDefault="0052474F" w:rsidP="007C38D1">
            <w:pPr>
              <w:spacing w:after="0" w:line="240" w:lineRule="auto"/>
              <w:textAlignment w:val="bottom"/>
              <w:rPr>
                <w:rFonts w:ascii="Arial" w:eastAsia="Times New Roman" w:hAnsi="Arial" w:cs="Arial"/>
                <w:sz w:val="20"/>
                <w:szCs w:val="20"/>
                <w:lang w:eastAsia="es-MX"/>
              </w:rPr>
            </w:pP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8A68D3" w:rsidRPr="003F6A99" w:rsidRDefault="008A68D3"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xml:space="preserve">• Adecuación de espacios </w:t>
            </w:r>
            <w:r w:rsidR="00A643BE" w:rsidRPr="003F6A99">
              <w:rPr>
                <w:rFonts w:ascii="Calibri" w:eastAsia="Times New Roman" w:hAnsi="Calibri" w:cs="Arial"/>
                <w:color w:val="000000" w:themeColor="text1"/>
                <w:kern w:val="24"/>
                <w:sz w:val="20"/>
                <w:szCs w:val="20"/>
                <w:lang w:eastAsia="es-MX"/>
              </w:rPr>
              <w:t xml:space="preserve">en Juzgado Penales Tijuana </w:t>
            </w:r>
            <w:r w:rsidRPr="003F6A99">
              <w:rPr>
                <w:rFonts w:ascii="Calibri" w:eastAsia="Times New Roman" w:hAnsi="Calibri" w:cs="Arial"/>
                <w:color w:val="000000" w:themeColor="text1"/>
                <w:kern w:val="24"/>
                <w:sz w:val="20"/>
                <w:szCs w:val="20"/>
                <w:lang w:eastAsia="es-MX"/>
              </w:rPr>
              <w:t>para:</w:t>
            </w:r>
          </w:p>
          <w:p w:rsidR="008A68D3" w:rsidRPr="003F6A99" w:rsidRDefault="008A68D3"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hAnsi="Calibri" w:cs="Arial"/>
                <w:color w:val="000000" w:themeColor="text1"/>
                <w:kern w:val="24"/>
                <w:sz w:val="20"/>
                <w:szCs w:val="20"/>
              </w:rPr>
              <w:t xml:space="preserve"> -Sala Penal Unitaria (9 personas), </w:t>
            </w:r>
            <w:r w:rsidRPr="003F6A99">
              <w:rPr>
                <w:rFonts w:ascii="Calibri" w:eastAsia="Times New Roman" w:hAnsi="Calibri" w:cs="Arial"/>
                <w:color w:val="000000" w:themeColor="text1"/>
                <w:kern w:val="24"/>
                <w:sz w:val="20"/>
                <w:szCs w:val="20"/>
                <w:lang w:eastAsia="es-MX"/>
              </w:rPr>
              <w:t>Delegación Secretaría Ge</w:t>
            </w:r>
            <w:r w:rsidR="00A643BE" w:rsidRPr="003F6A99">
              <w:rPr>
                <w:rFonts w:ascii="Calibri" w:eastAsia="Times New Roman" w:hAnsi="Calibri" w:cs="Arial"/>
                <w:color w:val="000000" w:themeColor="text1"/>
                <w:kern w:val="24"/>
                <w:sz w:val="20"/>
                <w:szCs w:val="20"/>
                <w:lang w:eastAsia="es-MX"/>
              </w:rPr>
              <w:t>neral de Acuerdos  Zona Costa (2</w:t>
            </w:r>
            <w:r w:rsidRPr="003F6A99">
              <w:rPr>
                <w:rFonts w:ascii="Calibri" w:eastAsia="Times New Roman" w:hAnsi="Calibri" w:cs="Arial"/>
                <w:color w:val="000000" w:themeColor="text1"/>
                <w:kern w:val="24"/>
                <w:sz w:val="20"/>
                <w:szCs w:val="20"/>
                <w:lang w:eastAsia="es-MX"/>
              </w:rPr>
              <w:t xml:space="preserve"> personas), Se</w:t>
            </w:r>
            <w:r w:rsidR="00A643BE" w:rsidRPr="003F6A99">
              <w:rPr>
                <w:rFonts w:ascii="Calibri" w:eastAsia="Times New Roman" w:hAnsi="Calibri" w:cs="Arial"/>
                <w:color w:val="000000" w:themeColor="text1"/>
                <w:kern w:val="24"/>
                <w:sz w:val="20"/>
                <w:szCs w:val="20"/>
                <w:lang w:eastAsia="es-MX"/>
              </w:rPr>
              <w:t>cción Penal y Amparo (18</w:t>
            </w:r>
            <w:r w:rsidRPr="003F6A99">
              <w:rPr>
                <w:rFonts w:ascii="Calibri" w:eastAsia="Times New Roman" w:hAnsi="Calibri" w:cs="Arial"/>
                <w:color w:val="000000" w:themeColor="text1"/>
                <w:kern w:val="24"/>
                <w:sz w:val="20"/>
                <w:szCs w:val="20"/>
                <w:lang w:eastAsia="es-MX"/>
              </w:rPr>
              <w:t xml:space="preserve"> personas)</w:t>
            </w:r>
            <w:r w:rsidR="00A643BE" w:rsidRPr="003F6A99">
              <w:rPr>
                <w:rFonts w:ascii="Calibri" w:eastAsia="Times New Roman" w:hAnsi="Calibri" w:cs="Arial"/>
                <w:color w:val="000000" w:themeColor="text1"/>
                <w:kern w:val="24"/>
                <w:sz w:val="20"/>
                <w:szCs w:val="20"/>
                <w:lang w:eastAsia="es-MX"/>
              </w:rPr>
              <w:t>.</w:t>
            </w:r>
          </w:p>
          <w:p w:rsidR="00A643BE" w:rsidRPr="003F6A99" w:rsidRDefault="00A643BE"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Costo plantilla</w:t>
            </w:r>
          </w:p>
          <w:p w:rsidR="00A643BE" w:rsidRPr="003F6A99" w:rsidRDefault="00A643BE"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Equipamiento</w:t>
            </w:r>
          </w:p>
          <w:p w:rsidR="00CE0BAD" w:rsidRPr="003F6A99" w:rsidRDefault="00A643BE"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Gasto oper</w:t>
            </w:r>
            <w:r w:rsidR="003F6A99">
              <w:rPr>
                <w:rFonts w:ascii="Calibri" w:eastAsia="Times New Roman" w:hAnsi="Calibri" w:cs="Arial"/>
                <w:color w:val="000000" w:themeColor="text1"/>
                <w:kern w:val="24"/>
                <w:sz w:val="20"/>
                <w:szCs w:val="20"/>
                <w:lang w:eastAsia="es-MX"/>
              </w:rPr>
              <w:t>ativo</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52474F" w:rsidRPr="003F6A99" w:rsidRDefault="00653B28" w:rsidP="00653B28">
            <w:pPr>
              <w:spacing w:after="0" w:line="240" w:lineRule="auto"/>
              <w:ind w:right="132"/>
              <w:jc w:val="right"/>
              <w:textAlignment w:val="center"/>
              <w:rPr>
                <w:rFonts w:eastAsiaTheme="minorEastAsia" w:hAnsi="Calibri"/>
                <w:color w:val="000000" w:themeColor="text1"/>
                <w:kern w:val="24"/>
                <w:sz w:val="20"/>
                <w:szCs w:val="20"/>
                <w:lang w:eastAsia="es-MX"/>
              </w:rPr>
            </w:pPr>
            <w:r>
              <w:rPr>
                <w:rFonts w:eastAsiaTheme="minorEastAsia" w:hAnsi="Calibri"/>
                <w:color w:val="000000" w:themeColor="text1"/>
                <w:kern w:val="24"/>
                <w:sz w:val="20"/>
                <w:szCs w:val="20"/>
                <w:lang w:eastAsia="es-MX"/>
              </w:rPr>
              <w:t>8,370,685.31</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A643BE" w:rsidRPr="003F6A99" w:rsidRDefault="0052474F" w:rsidP="00653B28">
            <w:pPr>
              <w:ind w:right="132"/>
              <w:jc w:val="right"/>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 xml:space="preserve">          </w:t>
            </w:r>
            <w:r w:rsidR="00A643BE" w:rsidRPr="003F6A99">
              <w:rPr>
                <w:rFonts w:eastAsiaTheme="minorEastAsia" w:hAnsi="Calibri"/>
                <w:color w:val="000000" w:themeColor="text1"/>
                <w:kern w:val="24"/>
                <w:sz w:val="20"/>
                <w:szCs w:val="20"/>
                <w:lang w:eastAsia="es-MX"/>
              </w:rPr>
              <w:t xml:space="preserve">     </w:t>
            </w:r>
          </w:p>
          <w:p w:rsidR="00A643BE" w:rsidRPr="003F6A99" w:rsidRDefault="00A643BE" w:rsidP="00653B28">
            <w:pPr>
              <w:ind w:right="132"/>
              <w:jc w:val="right"/>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 xml:space="preserve">10,675,390.14 </w:t>
            </w:r>
          </w:p>
          <w:p w:rsidR="0052474F" w:rsidRPr="003F6A99" w:rsidRDefault="0052474F" w:rsidP="00653B28">
            <w:pPr>
              <w:spacing w:after="0" w:line="240" w:lineRule="auto"/>
              <w:ind w:right="132"/>
              <w:jc w:val="right"/>
              <w:textAlignment w:val="center"/>
              <w:rPr>
                <w:rFonts w:eastAsiaTheme="minorEastAsia" w:hAnsi="Calibri"/>
                <w:color w:val="000000" w:themeColor="text1"/>
                <w:kern w:val="24"/>
                <w:sz w:val="20"/>
                <w:szCs w:val="20"/>
                <w:lang w:eastAsia="es-MX"/>
              </w:rPr>
            </w:pP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hideMark/>
          </w:tcPr>
          <w:p w:rsidR="00A643BE" w:rsidRPr="003F6A99" w:rsidRDefault="0052474F" w:rsidP="00653B28">
            <w:pPr>
              <w:ind w:right="132"/>
              <w:jc w:val="right"/>
              <w:textAlignment w:val="center"/>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 xml:space="preserve">     </w:t>
            </w:r>
          </w:p>
          <w:p w:rsidR="00A643BE" w:rsidRPr="003F6A99" w:rsidRDefault="0052474F" w:rsidP="00653B28">
            <w:pPr>
              <w:ind w:right="132"/>
              <w:jc w:val="right"/>
              <w:textAlignment w:val="center"/>
              <w:rPr>
                <w:rFonts w:eastAsiaTheme="minorEastAsia" w:hAnsi="Calibri"/>
                <w:b/>
                <w:color w:val="000000" w:themeColor="text1"/>
                <w:kern w:val="24"/>
                <w:sz w:val="20"/>
                <w:szCs w:val="20"/>
                <w:lang w:eastAsia="es-MX"/>
              </w:rPr>
            </w:pPr>
            <w:r w:rsidRPr="003F6A99">
              <w:rPr>
                <w:rFonts w:eastAsiaTheme="minorEastAsia" w:hAnsi="Calibri"/>
                <w:b/>
                <w:color w:val="000000" w:themeColor="text1"/>
                <w:kern w:val="24"/>
                <w:sz w:val="20"/>
                <w:szCs w:val="20"/>
                <w:lang w:eastAsia="es-MX"/>
              </w:rPr>
              <w:t xml:space="preserve">     </w:t>
            </w:r>
            <w:r w:rsidR="00A643BE" w:rsidRPr="003F6A99">
              <w:rPr>
                <w:rFonts w:eastAsiaTheme="minorEastAsia" w:hAnsi="Calibri"/>
                <w:b/>
                <w:color w:val="000000" w:themeColor="text1"/>
                <w:kern w:val="24"/>
                <w:sz w:val="20"/>
                <w:szCs w:val="20"/>
                <w:lang w:eastAsia="es-MX"/>
              </w:rPr>
              <w:t>19,046,075.45</w:t>
            </w:r>
          </w:p>
          <w:p w:rsidR="0052474F" w:rsidRPr="003F6A99" w:rsidRDefault="0052474F" w:rsidP="00653B28">
            <w:pPr>
              <w:spacing w:after="0" w:line="240" w:lineRule="auto"/>
              <w:ind w:right="132"/>
              <w:jc w:val="right"/>
              <w:textAlignment w:val="center"/>
              <w:rPr>
                <w:rFonts w:eastAsiaTheme="minorEastAsia" w:hAnsi="Calibri"/>
                <w:color w:val="000000" w:themeColor="text1"/>
                <w:kern w:val="24"/>
                <w:sz w:val="20"/>
                <w:szCs w:val="20"/>
                <w:lang w:eastAsia="es-MX"/>
              </w:rPr>
            </w:pPr>
          </w:p>
        </w:tc>
      </w:tr>
      <w:tr w:rsidR="0016636F" w:rsidRPr="0052474F" w:rsidTr="007C38D1">
        <w:trPr>
          <w:trHeight w:val="399"/>
          <w:tblHeader/>
        </w:trPr>
        <w:tc>
          <w:tcPr>
            <w:tcW w:w="2704"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16636F" w:rsidRPr="0016636F" w:rsidRDefault="0016636F" w:rsidP="007C38D1">
            <w:pPr>
              <w:spacing w:after="0" w:line="240" w:lineRule="auto"/>
              <w:jc w:val="center"/>
              <w:textAlignment w:val="center"/>
              <w:rPr>
                <w:rFonts w:ascii="Arial" w:eastAsia="Times New Roman" w:hAnsi="Arial" w:cs="Arial"/>
                <w:sz w:val="36"/>
                <w:szCs w:val="36"/>
                <w:lang w:eastAsia="es-MX"/>
              </w:rPr>
            </w:pPr>
            <w:r w:rsidRPr="0016636F">
              <w:rPr>
                <w:rFonts w:ascii="Calibri" w:eastAsia="Times New Roman" w:hAnsi="Calibri" w:cs="Arial"/>
                <w:b/>
                <w:bCs/>
                <w:color w:val="000000" w:themeColor="text1"/>
                <w:kern w:val="24"/>
                <w:sz w:val="20"/>
                <w:szCs w:val="20"/>
                <w:lang w:eastAsia="es-MX"/>
              </w:rPr>
              <w:lastRenderedPageBreak/>
              <w:t xml:space="preserve">Concepto </w:t>
            </w:r>
          </w:p>
        </w:tc>
        <w:tc>
          <w:tcPr>
            <w:tcW w:w="6237"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16636F" w:rsidRPr="0016636F" w:rsidRDefault="0016636F" w:rsidP="007C38D1">
            <w:pPr>
              <w:spacing w:after="0" w:line="240" w:lineRule="auto"/>
              <w:jc w:val="center"/>
              <w:textAlignment w:val="center"/>
              <w:rPr>
                <w:rFonts w:ascii="Arial" w:eastAsia="Times New Roman" w:hAnsi="Arial" w:cs="Arial"/>
                <w:sz w:val="36"/>
                <w:szCs w:val="36"/>
                <w:lang w:eastAsia="es-MX"/>
              </w:rPr>
            </w:pPr>
            <w:r w:rsidRPr="0016636F">
              <w:rPr>
                <w:rFonts w:ascii="Calibri" w:eastAsia="Times New Roman" w:hAnsi="Calibri" w:cs="Arial"/>
                <w:b/>
                <w:bCs/>
                <w:color w:val="000000" w:themeColor="text1"/>
                <w:kern w:val="24"/>
                <w:sz w:val="20"/>
                <w:szCs w:val="20"/>
                <w:lang w:eastAsia="es-MX"/>
              </w:rPr>
              <w:t>Requerimientos</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16636F" w:rsidRPr="0016636F" w:rsidRDefault="00F35053" w:rsidP="007C38D1">
            <w:pPr>
              <w:spacing w:after="0" w:line="240" w:lineRule="auto"/>
              <w:jc w:val="center"/>
              <w:textAlignment w:val="center"/>
              <w:rPr>
                <w:rFonts w:ascii="Arial" w:eastAsia="Times New Roman" w:hAnsi="Arial" w:cs="Arial"/>
                <w:sz w:val="36"/>
                <w:szCs w:val="36"/>
                <w:lang w:eastAsia="es-MX"/>
              </w:rPr>
            </w:pPr>
            <w:r>
              <w:rPr>
                <w:rFonts w:ascii="Calibri" w:eastAsia="Times New Roman" w:hAnsi="Calibri" w:cs="Arial"/>
                <w:b/>
                <w:bCs/>
                <w:color w:val="000000" w:themeColor="text1"/>
                <w:kern w:val="24"/>
                <w:sz w:val="20"/>
                <w:szCs w:val="20"/>
                <w:lang w:eastAsia="es-MX"/>
              </w:rPr>
              <w:t>Inversión Inicial</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16636F" w:rsidRPr="0016636F" w:rsidRDefault="0016636F" w:rsidP="007C38D1">
            <w:pPr>
              <w:spacing w:after="0" w:line="240" w:lineRule="auto"/>
              <w:jc w:val="center"/>
              <w:textAlignment w:val="center"/>
              <w:rPr>
                <w:rFonts w:ascii="Arial" w:eastAsia="Times New Roman" w:hAnsi="Arial" w:cs="Arial"/>
                <w:sz w:val="36"/>
                <w:szCs w:val="36"/>
                <w:lang w:eastAsia="es-MX"/>
              </w:rPr>
            </w:pPr>
            <w:r w:rsidRPr="0016636F">
              <w:rPr>
                <w:rFonts w:ascii="Calibri" w:eastAsia="Times New Roman" w:hAnsi="Calibri" w:cs="Arial"/>
                <w:b/>
                <w:bCs/>
                <w:color w:val="000000" w:themeColor="text1"/>
                <w:kern w:val="24"/>
                <w:sz w:val="20"/>
                <w:szCs w:val="20"/>
                <w:lang w:eastAsia="es-MX"/>
              </w:rPr>
              <w:t>Gasto con afectación anual</w:t>
            </w:r>
          </w:p>
        </w:tc>
        <w:tc>
          <w:tcPr>
            <w:tcW w:w="1603"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16636F" w:rsidRPr="0016636F" w:rsidRDefault="0016636F" w:rsidP="007C38D1">
            <w:pPr>
              <w:spacing w:after="0" w:line="240" w:lineRule="auto"/>
              <w:jc w:val="center"/>
              <w:textAlignment w:val="center"/>
              <w:rPr>
                <w:rFonts w:ascii="Arial" w:eastAsia="Times New Roman" w:hAnsi="Arial" w:cs="Arial"/>
                <w:sz w:val="36"/>
                <w:szCs w:val="36"/>
                <w:lang w:eastAsia="es-MX"/>
              </w:rPr>
            </w:pPr>
            <w:r w:rsidRPr="0016636F">
              <w:rPr>
                <w:rFonts w:ascii="Calibri" w:eastAsia="Times New Roman" w:hAnsi="Calibri" w:cs="Arial"/>
                <w:b/>
                <w:bCs/>
                <w:color w:val="000000" w:themeColor="text1"/>
                <w:kern w:val="24"/>
                <w:sz w:val="20"/>
                <w:szCs w:val="20"/>
                <w:lang w:eastAsia="es-MX"/>
              </w:rPr>
              <w:t>Total Implementación</w:t>
            </w:r>
          </w:p>
        </w:tc>
      </w:tr>
      <w:tr w:rsidR="00A643BE" w:rsidRPr="0052474F" w:rsidTr="007C38D1">
        <w:trPr>
          <w:trHeight w:val="563"/>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3F6A99" w:rsidRPr="003F6A99" w:rsidRDefault="003F6A99" w:rsidP="007C38D1">
            <w:pPr>
              <w:spacing w:after="0" w:line="240" w:lineRule="auto"/>
              <w:textAlignment w:val="center"/>
              <w:rPr>
                <w:rFonts w:eastAsiaTheme="minorEastAsia" w:hAnsi="Calibri"/>
                <w:color w:val="000000" w:themeColor="text1"/>
                <w:kern w:val="24"/>
                <w:sz w:val="20"/>
                <w:szCs w:val="20"/>
                <w:lang w:eastAsia="es-MX"/>
              </w:rPr>
            </w:pPr>
            <w:r w:rsidRPr="003F6A99">
              <w:rPr>
                <w:rFonts w:eastAsiaTheme="minorEastAsia" w:hAnsi="Calibri"/>
                <w:color w:val="000000" w:themeColor="text1"/>
                <w:kern w:val="24"/>
                <w:sz w:val="20"/>
                <w:szCs w:val="20"/>
                <w:lang w:eastAsia="es-MX"/>
              </w:rPr>
              <w:t xml:space="preserve">Reestructuración de Juzgados Familiares en el Estado y, creación de Nuevos Juzgados en materia Familiar con especialidad en niñas, niños, adolescentes y adopciones.  </w:t>
            </w:r>
          </w:p>
          <w:p w:rsidR="00A643BE" w:rsidRPr="003F6A99" w:rsidRDefault="00A643BE" w:rsidP="007C38D1">
            <w:pPr>
              <w:spacing w:after="0" w:line="240" w:lineRule="auto"/>
              <w:textAlignment w:val="center"/>
              <w:rPr>
                <w:rFonts w:eastAsiaTheme="minorEastAsia" w:hAnsi="Calibri"/>
                <w:color w:val="000000" w:themeColor="text1"/>
                <w:kern w:val="24"/>
                <w:sz w:val="20"/>
                <w:szCs w:val="20"/>
                <w:lang w:eastAsia="es-MX"/>
              </w:rPr>
            </w:pP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3F6A99" w:rsidRDefault="003F6A99"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sidR="00CE0BAD">
              <w:rPr>
                <w:rFonts w:ascii="Calibri" w:eastAsia="Times New Roman" w:hAnsi="Calibri" w:cs="Arial"/>
                <w:color w:val="000000" w:themeColor="text1"/>
                <w:kern w:val="24"/>
                <w:sz w:val="20"/>
                <w:szCs w:val="20"/>
                <w:lang w:eastAsia="es-MX"/>
              </w:rPr>
              <w:t>Renta de espacios y adecuación para:</w:t>
            </w:r>
          </w:p>
          <w:p w:rsidR="00CE0BAD" w:rsidRDefault="00CE0BAD" w:rsidP="007C38D1">
            <w:pPr>
              <w:spacing w:after="0" w:line="240" w:lineRule="auto"/>
              <w:textAlignment w:val="center"/>
              <w:rPr>
                <w:rFonts w:ascii="Calibri" w:hAnsi="Calibri" w:cs="Arial"/>
                <w:color w:val="000000" w:themeColor="text1"/>
                <w:kern w:val="24"/>
                <w:sz w:val="20"/>
                <w:szCs w:val="20"/>
              </w:rPr>
            </w:pPr>
            <w:r>
              <w:rPr>
                <w:rFonts w:ascii="Calibri" w:hAnsi="Calibri" w:cs="Arial"/>
                <w:color w:val="000000" w:themeColor="text1"/>
                <w:kern w:val="24"/>
                <w:sz w:val="20"/>
                <w:szCs w:val="20"/>
              </w:rPr>
              <w:t xml:space="preserve">   -</w:t>
            </w:r>
            <w:r w:rsidR="003F6A99" w:rsidRPr="00CE0BAD">
              <w:rPr>
                <w:rFonts w:ascii="Calibri" w:hAnsi="Calibri" w:cs="Arial"/>
                <w:color w:val="000000" w:themeColor="text1"/>
                <w:kern w:val="24"/>
                <w:sz w:val="20"/>
                <w:szCs w:val="20"/>
              </w:rPr>
              <w:t>(5) Juzgados Familiares en Mexicali y (5) Juzgados Familiares en Tijuana</w:t>
            </w:r>
          </w:p>
          <w:p w:rsidR="003F6A99" w:rsidRDefault="00CE0BAD" w:rsidP="007C38D1">
            <w:pPr>
              <w:spacing w:after="0" w:line="240" w:lineRule="auto"/>
              <w:rPr>
                <w:rFonts w:ascii="Calibri" w:hAnsi="Calibri" w:cs="Arial"/>
                <w:color w:val="000000" w:themeColor="text1"/>
                <w:kern w:val="24"/>
                <w:sz w:val="20"/>
                <w:szCs w:val="20"/>
              </w:rPr>
            </w:pPr>
            <w:r w:rsidRPr="003F6A99">
              <w:rPr>
                <w:rFonts w:ascii="Calibri" w:eastAsia="Times New Roman" w:hAnsi="Calibri" w:cs="Arial"/>
                <w:color w:val="000000" w:themeColor="text1"/>
                <w:kern w:val="24"/>
                <w:sz w:val="20"/>
                <w:szCs w:val="20"/>
                <w:lang w:eastAsia="es-MX"/>
              </w:rPr>
              <w:t>•</w:t>
            </w:r>
            <w:r w:rsidR="003F6A99" w:rsidRPr="003F6A99">
              <w:rPr>
                <w:rFonts w:ascii="Calibri" w:eastAsia="Times New Roman" w:hAnsi="Calibri" w:cs="Arial"/>
                <w:color w:val="000000" w:themeColor="text1"/>
                <w:kern w:val="24"/>
                <w:sz w:val="20"/>
                <w:szCs w:val="20"/>
                <w:lang w:eastAsia="es-MX"/>
              </w:rPr>
              <w:t>Costo plantilla</w:t>
            </w:r>
            <w:r>
              <w:rPr>
                <w:rFonts w:ascii="Calibri" w:eastAsia="Times New Roman" w:hAnsi="Calibri" w:cs="Arial"/>
                <w:color w:val="000000" w:themeColor="text1"/>
                <w:kern w:val="24"/>
                <w:sz w:val="20"/>
                <w:szCs w:val="20"/>
                <w:lang w:eastAsia="es-MX"/>
              </w:rPr>
              <w:t xml:space="preserve"> y gasto operativo de los Juzgados Cuarto Familiar Mexicali, Cuarto Familiar Tijuana, </w:t>
            </w:r>
            <w:r w:rsidRPr="00CE0BAD">
              <w:rPr>
                <w:rFonts w:ascii="Calibri" w:eastAsia="Times New Roman" w:hAnsi="Calibri" w:cs="Arial"/>
                <w:color w:val="000000" w:themeColor="text1"/>
                <w:kern w:val="24"/>
                <w:sz w:val="20"/>
                <w:szCs w:val="20"/>
              </w:rPr>
              <w:t>Juzgado Familiar especializado en niñas, niños y adolescentes Mexicali</w:t>
            </w:r>
            <w:r>
              <w:rPr>
                <w:rFonts w:ascii="Calibri" w:eastAsia="Times New Roman" w:hAnsi="Calibri" w:cs="Arial"/>
                <w:color w:val="000000" w:themeColor="text1"/>
                <w:kern w:val="24"/>
                <w:sz w:val="20"/>
                <w:szCs w:val="20"/>
              </w:rPr>
              <w:t xml:space="preserve">, </w:t>
            </w:r>
            <w:r w:rsidRPr="00CE0BAD">
              <w:rPr>
                <w:rFonts w:ascii="Calibri" w:eastAsia="Times New Roman" w:hAnsi="Calibri" w:cs="Arial"/>
                <w:color w:val="000000" w:themeColor="text1"/>
                <w:kern w:val="24"/>
                <w:sz w:val="20"/>
                <w:szCs w:val="20"/>
              </w:rPr>
              <w:t>Juzgado Familiar especializado en niñas, niños y adolescentes Tijuana</w:t>
            </w:r>
            <w:r>
              <w:rPr>
                <w:rFonts w:ascii="Calibri" w:hAnsi="Calibri" w:cs="Arial"/>
                <w:color w:val="000000" w:themeColor="text1"/>
                <w:kern w:val="24"/>
                <w:sz w:val="20"/>
                <w:szCs w:val="20"/>
              </w:rPr>
              <w:t>.</w:t>
            </w:r>
          </w:p>
          <w:p w:rsidR="00CE0BAD" w:rsidRPr="00CE0BAD" w:rsidRDefault="00CE0BAD" w:rsidP="007C38D1">
            <w:pPr>
              <w:spacing w:after="0" w:line="240" w:lineRule="auto"/>
              <w:rPr>
                <w:rFonts w:ascii="Calibri" w:hAnsi="Calibri" w:cs="Arial"/>
                <w:color w:val="000000" w:themeColor="text1"/>
                <w:kern w:val="24"/>
                <w:sz w:val="20"/>
                <w:szCs w:val="20"/>
              </w:rPr>
            </w:pPr>
            <w:r w:rsidRPr="003F6A99">
              <w:rPr>
                <w:rFonts w:ascii="Calibri" w:eastAsia="Times New Roman" w:hAnsi="Calibri" w:cs="Arial"/>
                <w:color w:val="000000" w:themeColor="text1"/>
                <w:kern w:val="24"/>
                <w:sz w:val="20"/>
                <w:szCs w:val="20"/>
                <w:lang w:eastAsia="es-MX"/>
              </w:rPr>
              <w:t>•</w:t>
            </w:r>
            <w:r>
              <w:rPr>
                <w:rFonts w:ascii="Calibri" w:eastAsia="Times New Roman" w:hAnsi="Calibri" w:cs="Arial"/>
                <w:color w:val="000000" w:themeColor="text1"/>
                <w:kern w:val="24"/>
                <w:sz w:val="20"/>
                <w:szCs w:val="20"/>
                <w:lang w:eastAsia="es-MX"/>
              </w:rPr>
              <w:t xml:space="preserve"> Reubicación de espacios de los Juzgados del Primero al Tercero Familiar de los partidos judiciales de Mexicali y Tijuana</w:t>
            </w:r>
          </w:p>
          <w:p w:rsidR="00A643BE" w:rsidRDefault="003F6A99"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Equipamiento</w:t>
            </w:r>
            <w:r w:rsidR="00CE0BAD">
              <w:rPr>
                <w:rFonts w:ascii="Calibri" w:eastAsia="Times New Roman" w:hAnsi="Calibri" w:cs="Arial"/>
                <w:color w:val="000000" w:themeColor="text1"/>
                <w:kern w:val="24"/>
                <w:sz w:val="20"/>
                <w:szCs w:val="20"/>
                <w:lang w:eastAsia="es-MX"/>
              </w:rPr>
              <w:t xml:space="preserve"> </w:t>
            </w:r>
          </w:p>
          <w:p w:rsidR="00F35053" w:rsidRPr="003F6A99" w:rsidRDefault="00F35053" w:rsidP="007C38D1">
            <w:pPr>
              <w:spacing w:after="0" w:line="240" w:lineRule="auto"/>
              <w:textAlignment w:val="center"/>
              <w:rPr>
                <w:rFonts w:ascii="Calibri" w:eastAsia="Times New Roman" w:hAnsi="Calibri" w:cs="Arial"/>
                <w:color w:val="000000" w:themeColor="text1"/>
                <w:kern w:val="24"/>
                <w:sz w:val="20"/>
                <w:szCs w:val="20"/>
                <w:lang w:eastAsia="es-MX"/>
              </w:rPr>
            </w:pP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A643BE" w:rsidRPr="00CE0BAD" w:rsidRDefault="00653B28" w:rsidP="00653B28">
            <w:pPr>
              <w:spacing w:after="0" w:line="240" w:lineRule="auto"/>
              <w:ind w:right="132"/>
              <w:jc w:val="right"/>
              <w:textAlignment w:val="center"/>
              <w:rPr>
                <w:rFonts w:eastAsiaTheme="minorEastAsia" w:hAnsi="Calibri"/>
                <w:color w:val="000000" w:themeColor="text1"/>
                <w:kern w:val="24"/>
                <w:sz w:val="20"/>
                <w:szCs w:val="20"/>
                <w:lang w:eastAsia="es-MX"/>
              </w:rPr>
            </w:pPr>
            <w:r>
              <w:rPr>
                <w:rFonts w:eastAsiaTheme="minorEastAsia" w:hAnsi="Calibri"/>
                <w:color w:val="000000" w:themeColor="text1"/>
                <w:kern w:val="24"/>
                <w:sz w:val="20"/>
                <w:szCs w:val="20"/>
                <w:lang w:eastAsia="es-MX"/>
              </w:rPr>
              <w:t xml:space="preserve"> </w:t>
            </w:r>
            <w:r w:rsidR="00CE0BAD" w:rsidRPr="00CE0BAD">
              <w:rPr>
                <w:rFonts w:eastAsiaTheme="minorEastAsia" w:hAnsi="Calibri"/>
                <w:color w:val="000000" w:themeColor="text1"/>
                <w:kern w:val="24"/>
                <w:sz w:val="20"/>
                <w:szCs w:val="20"/>
                <w:lang w:eastAsia="es-MX"/>
              </w:rPr>
              <w:t>22,576,345.0</w:t>
            </w:r>
            <w:r>
              <w:rPr>
                <w:rFonts w:eastAsiaTheme="minorEastAsia" w:hAnsi="Calibri"/>
                <w:color w:val="000000" w:themeColor="text1"/>
                <w:kern w:val="24"/>
                <w:sz w:val="20"/>
                <w:szCs w:val="20"/>
                <w:lang w:eastAsia="es-MX"/>
              </w:rPr>
              <w:t xml:space="preserve">9  </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CE0BAD" w:rsidRDefault="00CE0BAD" w:rsidP="00653B28">
            <w:pPr>
              <w:spacing w:after="0" w:line="240" w:lineRule="auto"/>
              <w:ind w:right="132"/>
              <w:jc w:val="right"/>
              <w:textAlignment w:val="center"/>
              <w:rPr>
                <w:rFonts w:eastAsiaTheme="minorEastAsia" w:hAnsi="Calibri"/>
                <w:color w:val="000000" w:themeColor="text1"/>
                <w:kern w:val="24"/>
                <w:sz w:val="20"/>
                <w:szCs w:val="20"/>
                <w:lang w:eastAsia="es-MX"/>
              </w:rPr>
            </w:pPr>
          </w:p>
          <w:p w:rsidR="00CE0BAD" w:rsidRPr="00CE0BAD" w:rsidRDefault="00CE0BAD" w:rsidP="00653B28">
            <w:pPr>
              <w:spacing w:after="0" w:line="240" w:lineRule="auto"/>
              <w:ind w:right="132"/>
              <w:jc w:val="right"/>
              <w:textAlignment w:val="center"/>
              <w:rPr>
                <w:rFonts w:eastAsiaTheme="minorEastAsia" w:hAnsi="Calibri"/>
                <w:color w:val="000000" w:themeColor="text1"/>
                <w:kern w:val="24"/>
                <w:sz w:val="20"/>
                <w:szCs w:val="20"/>
                <w:lang w:eastAsia="es-MX"/>
              </w:rPr>
            </w:pPr>
            <w:r w:rsidRPr="00CE0BAD">
              <w:rPr>
                <w:rFonts w:eastAsiaTheme="minorEastAsia" w:hAnsi="Calibri"/>
                <w:color w:val="000000" w:themeColor="text1"/>
                <w:kern w:val="24"/>
                <w:sz w:val="20"/>
                <w:szCs w:val="20"/>
                <w:lang w:eastAsia="es-MX"/>
              </w:rPr>
              <w:t>16,684,123.69</w:t>
            </w:r>
          </w:p>
          <w:p w:rsidR="00A643BE" w:rsidRPr="00CE0BAD" w:rsidRDefault="00A643BE" w:rsidP="00653B28">
            <w:pPr>
              <w:spacing w:after="0" w:line="240" w:lineRule="auto"/>
              <w:ind w:right="132"/>
              <w:jc w:val="right"/>
              <w:textAlignment w:val="center"/>
              <w:rPr>
                <w:rFonts w:eastAsiaTheme="minorEastAsia" w:hAnsi="Calibri"/>
                <w:color w:val="000000" w:themeColor="text1"/>
                <w:kern w:val="24"/>
                <w:sz w:val="20"/>
                <w:szCs w:val="20"/>
                <w:lang w:eastAsia="es-MX"/>
              </w:rPr>
            </w:pP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CE0BAD" w:rsidRDefault="00CE0BAD" w:rsidP="00653B28">
            <w:pPr>
              <w:spacing w:after="0" w:line="240" w:lineRule="auto"/>
              <w:ind w:right="175"/>
              <w:jc w:val="right"/>
              <w:textAlignment w:val="center"/>
              <w:rPr>
                <w:rFonts w:eastAsiaTheme="minorEastAsia" w:hAnsi="Calibri"/>
                <w:color w:val="000000" w:themeColor="text1"/>
                <w:kern w:val="24"/>
                <w:sz w:val="20"/>
                <w:szCs w:val="20"/>
                <w:lang w:eastAsia="es-MX"/>
              </w:rPr>
            </w:pPr>
          </w:p>
          <w:p w:rsidR="00CE0BAD" w:rsidRPr="00CE0BAD" w:rsidRDefault="00CE0BAD" w:rsidP="00653B28">
            <w:pPr>
              <w:spacing w:after="0" w:line="240" w:lineRule="auto"/>
              <w:ind w:right="175"/>
              <w:jc w:val="right"/>
              <w:textAlignment w:val="center"/>
              <w:rPr>
                <w:rFonts w:eastAsiaTheme="minorEastAsia" w:hAnsi="Calibri"/>
                <w:b/>
                <w:color w:val="000000" w:themeColor="text1"/>
                <w:kern w:val="24"/>
                <w:sz w:val="20"/>
                <w:szCs w:val="20"/>
                <w:lang w:eastAsia="es-MX"/>
              </w:rPr>
            </w:pPr>
            <w:r w:rsidRPr="00CE0BAD">
              <w:rPr>
                <w:rFonts w:eastAsiaTheme="minorEastAsia" w:hAnsi="Calibri"/>
                <w:b/>
                <w:color w:val="000000" w:themeColor="text1"/>
                <w:kern w:val="24"/>
                <w:sz w:val="20"/>
                <w:szCs w:val="20"/>
                <w:lang w:eastAsia="es-MX"/>
              </w:rPr>
              <w:t>39,260,468.78</w:t>
            </w:r>
          </w:p>
          <w:p w:rsidR="00A643BE" w:rsidRPr="00CE0BAD" w:rsidRDefault="00A643BE" w:rsidP="00653B28">
            <w:pPr>
              <w:spacing w:after="0" w:line="240" w:lineRule="auto"/>
              <w:ind w:right="175"/>
              <w:jc w:val="right"/>
              <w:textAlignment w:val="center"/>
              <w:rPr>
                <w:rFonts w:eastAsiaTheme="minorEastAsia" w:hAnsi="Calibri"/>
                <w:color w:val="000000" w:themeColor="text1"/>
                <w:kern w:val="24"/>
                <w:sz w:val="20"/>
                <w:szCs w:val="20"/>
                <w:lang w:eastAsia="es-MX"/>
              </w:rPr>
            </w:pPr>
          </w:p>
        </w:tc>
      </w:tr>
      <w:tr w:rsidR="00DB3C5D" w:rsidRPr="0052474F" w:rsidTr="007C38D1">
        <w:trPr>
          <w:trHeight w:val="563"/>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DB3C5D" w:rsidRPr="00DB3C5D" w:rsidRDefault="00DB3C5D" w:rsidP="007C38D1">
            <w:pPr>
              <w:spacing w:after="0" w:line="240" w:lineRule="auto"/>
              <w:textAlignment w:val="center"/>
              <w:rPr>
                <w:rFonts w:eastAsiaTheme="minorEastAsia" w:hAnsi="Calibri"/>
                <w:color w:val="000000" w:themeColor="text1"/>
                <w:kern w:val="24"/>
                <w:sz w:val="20"/>
                <w:szCs w:val="20"/>
                <w:lang w:eastAsia="es-MX"/>
              </w:rPr>
            </w:pPr>
            <w:r>
              <w:rPr>
                <w:rFonts w:eastAsiaTheme="minorEastAsia" w:hAnsi="Calibri"/>
                <w:color w:val="000000" w:themeColor="text1"/>
                <w:kern w:val="24"/>
                <w:sz w:val="20"/>
                <w:szCs w:val="20"/>
                <w:lang w:eastAsia="es-MX"/>
              </w:rPr>
              <w:t xml:space="preserve">Creación de </w:t>
            </w:r>
            <w:r w:rsidRPr="00DB3C5D">
              <w:rPr>
                <w:rFonts w:eastAsiaTheme="minorEastAsia" w:hAnsi="Calibri"/>
                <w:color w:val="000000" w:themeColor="text1"/>
                <w:kern w:val="24"/>
                <w:sz w:val="20"/>
                <w:szCs w:val="20"/>
                <w:lang w:eastAsia="es-MX"/>
              </w:rPr>
              <w:t>Juzg</w:t>
            </w:r>
            <w:r>
              <w:rPr>
                <w:rFonts w:eastAsiaTheme="minorEastAsia" w:hAnsi="Calibri"/>
                <w:color w:val="000000" w:themeColor="text1"/>
                <w:kern w:val="24"/>
                <w:sz w:val="20"/>
                <w:szCs w:val="20"/>
                <w:lang w:eastAsia="es-MX"/>
              </w:rPr>
              <w:t xml:space="preserve">ados Mercantiles de </w:t>
            </w:r>
            <w:r w:rsidRPr="00DB3C5D">
              <w:rPr>
                <w:rFonts w:eastAsiaTheme="minorEastAsia" w:hAnsi="Calibri"/>
                <w:color w:val="000000" w:themeColor="text1"/>
                <w:kern w:val="24"/>
                <w:sz w:val="20"/>
                <w:szCs w:val="20"/>
                <w:lang w:eastAsia="es-MX"/>
              </w:rPr>
              <w:t xml:space="preserve">en Tijuana y Mexicali </w:t>
            </w:r>
          </w:p>
          <w:p w:rsidR="00DB3C5D" w:rsidRPr="003F6A99" w:rsidRDefault="00DB3C5D" w:rsidP="007C38D1">
            <w:pPr>
              <w:spacing w:after="0" w:line="240" w:lineRule="auto"/>
              <w:textAlignment w:val="center"/>
              <w:rPr>
                <w:rFonts w:eastAsiaTheme="minorEastAsia" w:hAnsi="Calibri"/>
                <w:color w:val="000000" w:themeColor="text1"/>
                <w:kern w:val="24"/>
                <w:sz w:val="20"/>
                <w:szCs w:val="20"/>
                <w:lang w:eastAsia="es-MX"/>
              </w:rPr>
            </w:pP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DB3C5D" w:rsidRPr="007A1616" w:rsidRDefault="00DB3C5D"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Pr>
                <w:rFonts w:ascii="Calibri" w:eastAsia="Times New Roman" w:hAnsi="Calibri" w:cs="Arial"/>
                <w:color w:val="000000" w:themeColor="text1"/>
                <w:kern w:val="24"/>
                <w:sz w:val="20"/>
                <w:szCs w:val="20"/>
                <w:lang w:eastAsia="es-MX"/>
              </w:rPr>
              <w:t xml:space="preserve"> Costo plantilla Juzgado Noveno Civil especializado en materia mercantil en Mexicali</w:t>
            </w:r>
            <w:r w:rsidR="007A1616">
              <w:rPr>
                <w:rFonts w:ascii="Calibri" w:eastAsia="Times New Roman" w:hAnsi="Calibri" w:cs="Arial"/>
                <w:color w:val="000000" w:themeColor="text1"/>
                <w:kern w:val="24"/>
                <w:sz w:val="20"/>
                <w:szCs w:val="20"/>
                <w:lang w:eastAsia="es-MX"/>
              </w:rPr>
              <w:t xml:space="preserve"> (23 personas)</w:t>
            </w:r>
            <w:r>
              <w:rPr>
                <w:rFonts w:ascii="Calibri" w:eastAsia="Times New Roman" w:hAnsi="Calibri" w:cs="Arial"/>
                <w:color w:val="000000" w:themeColor="text1"/>
                <w:kern w:val="24"/>
                <w:sz w:val="20"/>
                <w:szCs w:val="20"/>
                <w:lang w:eastAsia="es-MX"/>
              </w:rPr>
              <w:t xml:space="preserve"> y Juzgado Décimo Segundo Civil especializado en materia mercantil en Tijuana</w:t>
            </w:r>
            <w:r w:rsidR="007A1616">
              <w:rPr>
                <w:rFonts w:ascii="Calibri" w:eastAsia="Times New Roman" w:hAnsi="Calibri" w:cs="Arial"/>
                <w:color w:val="000000" w:themeColor="text1"/>
                <w:kern w:val="24"/>
                <w:sz w:val="20"/>
                <w:szCs w:val="20"/>
                <w:lang w:eastAsia="es-MX"/>
              </w:rPr>
              <w:t xml:space="preserve"> (23 personas).</w:t>
            </w:r>
          </w:p>
          <w:p w:rsidR="007A1616" w:rsidRDefault="00DB3C5D" w:rsidP="007C38D1">
            <w:pPr>
              <w:spacing w:after="0" w:line="240" w:lineRule="auto"/>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sidR="007A1616">
              <w:rPr>
                <w:rFonts w:ascii="Calibri" w:eastAsia="Times New Roman" w:hAnsi="Calibri" w:cs="Arial"/>
                <w:color w:val="000000" w:themeColor="text1"/>
                <w:kern w:val="24"/>
                <w:sz w:val="20"/>
                <w:szCs w:val="20"/>
                <w:lang w:eastAsia="es-MX"/>
              </w:rPr>
              <w:t>2 salas de audiencias: (1</w:t>
            </w:r>
            <w:r w:rsidR="007A1616" w:rsidRPr="003F6A99">
              <w:rPr>
                <w:rFonts w:ascii="Calibri" w:eastAsia="Times New Roman" w:hAnsi="Calibri" w:cs="Arial"/>
                <w:color w:val="000000" w:themeColor="text1"/>
                <w:kern w:val="24"/>
                <w:sz w:val="20"/>
                <w:szCs w:val="20"/>
                <w:lang w:eastAsia="es-MX"/>
              </w:rPr>
              <w:t>) Mexic</w:t>
            </w:r>
            <w:r w:rsidR="007A1616">
              <w:rPr>
                <w:rFonts w:ascii="Calibri" w:eastAsia="Times New Roman" w:hAnsi="Calibri" w:cs="Arial"/>
                <w:color w:val="000000" w:themeColor="text1"/>
                <w:kern w:val="24"/>
                <w:sz w:val="20"/>
                <w:szCs w:val="20"/>
                <w:lang w:eastAsia="es-MX"/>
              </w:rPr>
              <w:t>ali y (1) Tijuana.</w:t>
            </w:r>
          </w:p>
          <w:p w:rsidR="00DB3C5D" w:rsidRPr="00CE0BAD" w:rsidRDefault="007A1616" w:rsidP="007C38D1">
            <w:pPr>
              <w:spacing w:after="0" w:line="240" w:lineRule="auto"/>
              <w:rPr>
                <w:rFonts w:ascii="Calibri" w:hAnsi="Calibri" w:cs="Arial"/>
                <w:color w:val="000000" w:themeColor="text1"/>
                <w:kern w:val="24"/>
                <w:sz w:val="20"/>
                <w:szCs w:val="20"/>
              </w:rPr>
            </w:pPr>
            <w:r w:rsidRPr="003F6A99">
              <w:rPr>
                <w:rFonts w:ascii="Calibri" w:eastAsia="Times New Roman" w:hAnsi="Calibri" w:cs="Arial"/>
                <w:color w:val="000000" w:themeColor="text1"/>
                <w:kern w:val="24"/>
                <w:sz w:val="20"/>
                <w:szCs w:val="20"/>
                <w:lang w:eastAsia="es-MX"/>
              </w:rPr>
              <w:t xml:space="preserve"> </w:t>
            </w:r>
            <w:r w:rsidR="00DB3C5D" w:rsidRPr="003F6A99">
              <w:rPr>
                <w:rFonts w:ascii="Calibri" w:eastAsia="Times New Roman" w:hAnsi="Calibri" w:cs="Arial"/>
                <w:color w:val="000000" w:themeColor="text1"/>
                <w:kern w:val="24"/>
                <w:sz w:val="20"/>
                <w:szCs w:val="20"/>
                <w:lang w:eastAsia="es-MX"/>
              </w:rPr>
              <w:t>•</w:t>
            </w:r>
            <w:r>
              <w:rPr>
                <w:rFonts w:ascii="Calibri" w:eastAsia="Times New Roman" w:hAnsi="Calibri" w:cs="Arial"/>
                <w:color w:val="000000" w:themeColor="text1"/>
                <w:kern w:val="24"/>
                <w:sz w:val="20"/>
                <w:szCs w:val="20"/>
                <w:lang w:eastAsia="es-MX"/>
              </w:rPr>
              <w:t xml:space="preserve">Adecuación de espacios </w:t>
            </w:r>
          </w:p>
          <w:p w:rsidR="00DB3C5D" w:rsidRDefault="00DB3C5D" w:rsidP="007C38D1">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 Equipamiento</w:t>
            </w:r>
            <w:r>
              <w:rPr>
                <w:rFonts w:ascii="Calibri" w:eastAsia="Times New Roman" w:hAnsi="Calibri" w:cs="Arial"/>
                <w:color w:val="000000" w:themeColor="text1"/>
                <w:kern w:val="24"/>
                <w:sz w:val="20"/>
                <w:szCs w:val="20"/>
                <w:lang w:eastAsia="es-MX"/>
              </w:rPr>
              <w:t xml:space="preserve"> </w:t>
            </w:r>
          </w:p>
          <w:p w:rsidR="00DB3C5D" w:rsidRDefault="007A1616" w:rsidP="007C38D1">
            <w:pPr>
              <w:spacing w:after="0" w:line="240" w:lineRule="auto"/>
              <w:textAlignment w:val="center"/>
              <w:rPr>
                <w:rFonts w:ascii="Calibri" w:eastAsia="Times New Roman" w:hAnsi="Calibri" w:cs="Arial"/>
                <w:color w:val="000000" w:themeColor="text1"/>
                <w:kern w:val="24"/>
                <w:sz w:val="20"/>
                <w:szCs w:val="20"/>
                <w:lang w:eastAsia="es-MX"/>
              </w:rPr>
            </w:pPr>
            <w:r>
              <w:rPr>
                <w:rFonts w:ascii="Calibri" w:eastAsia="Times New Roman" w:hAnsi="Calibri" w:cs="Arial"/>
                <w:color w:val="000000" w:themeColor="text1"/>
                <w:kern w:val="24"/>
                <w:sz w:val="20"/>
                <w:szCs w:val="20"/>
                <w:lang w:eastAsia="es-MX"/>
              </w:rPr>
              <w:t xml:space="preserve">• Gasto operativo </w:t>
            </w:r>
          </w:p>
          <w:p w:rsidR="00F35053" w:rsidRPr="003F6A99" w:rsidRDefault="00F35053" w:rsidP="007C38D1">
            <w:pPr>
              <w:spacing w:after="0" w:line="240" w:lineRule="auto"/>
              <w:textAlignment w:val="center"/>
              <w:rPr>
                <w:rFonts w:ascii="Calibri" w:eastAsia="Times New Roman" w:hAnsi="Calibri" w:cs="Arial"/>
                <w:color w:val="000000" w:themeColor="text1"/>
                <w:kern w:val="24"/>
                <w:sz w:val="20"/>
                <w:szCs w:val="20"/>
                <w:lang w:eastAsia="es-MX"/>
              </w:rPr>
            </w:pP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DB3C5D" w:rsidRPr="00CE0BAD" w:rsidRDefault="007A1616" w:rsidP="00653B28">
            <w:pPr>
              <w:spacing w:after="0" w:line="240" w:lineRule="auto"/>
              <w:ind w:right="132"/>
              <w:jc w:val="right"/>
              <w:textAlignment w:val="center"/>
              <w:rPr>
                <w:rFonts w:eastAsiaTheme="minorEastAsia" w:hAnsi="Calibri"/>
                <w:color w:val="000000" w:themeColor="text1"/>
                <w:kern w:val="24"/>
                <w:sz w:val="20"/>
                <w:szCs w:val="20"/>
                <w:lang w:eastAsia="es-MX"/>
              </w:rPr>
            </w:pPr>
            <w:r w:rsidRPr="007A1616">
              <w:rPr>
                <w:rFonts w:eastAsiaTheme="minorEastAsia" w:hAnsi="Calibri"/>
                <w:color w:val="000000" w:themeColor="text1"/>
                <w:kern w:val="24"/>
                <w:sz w:val="20"/>
                <w:szCs w:val="20"/>
                <w:lang w:eastAsia="es-MX"/>
              </w:rPr>
              <w:t>10,280,371.74</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DB3C5D" w:rsidRDefault="00653B28" w:rsidP="00653B28">
            <w:pPr>
              <w:spacing w:after="0" w:line="240" w:lineRule="auto"/>
              <w:ind w:right="132"/>
              <w:jc w:val="right"/>
              <w:textAlignment w:val="center"/>
              <w:rPr>
                <w:rFonts w:eastAsiaTheme="minorEastAsia" w:hAnsi="Calibri"/>
                <w:color w:val="000000" w:themeColor="text1"/>
                <w:kern w:val="24"/>
                <w:sz w:val="20"/>
                <w:szCs w:val="20"/>
                <w:lang w:eastAsia="es-MX"/>
              </w:rPr>
            </w:pPr>
            <w:r>
              <w:rPr>
                <w:rFonts w:eastAsiaTheme="minorEastAsia" w:hAnsi="Calibri"/>
                <w:color w:val="000000" w:themeColor="text1"/>
                <w:kern w:val="24"/>
                <w:sz w:val="20"/>
                <w:szCs w:val="20"/>
                <w:lang w:eastAsia="es-MX"/>
              </w:rPr>
              <w:t xml:space="preserve">     </w:t>
            </w:r>
            <w:r w:rsidR="007A1616" w:rsidRPr="007A1616">
              <w:rPr>
                <w:rFonts w:eastAsiaTheme="minorEastAsia" w:hAnsi="Calibri"/>
                <w:color w:val="000000" w:themeColor="text1"/>
                <w:kern w:val="24"/>
                <w:sz w:val="20"/>
                <w:szCs w:val="20"/>
                <w:lang w:eastAsia="es-MX"/>
              </w:rPr>
              <w:t>14,719,234.40</w:t>
            </w: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7A1616" w:rsidRDefault="007A1616" w:rsidP="00653B28">
            <w:pPr>
              <w:spacing w:after="0" w:line="240" w:lineRule="auto"/>
              <w:ind w:right="175"/>
              <w:jc w:val="right"/>
              <w:textAlignment w:val="center"/>
              <w:rPr>
                <w:rFonts w:eastAsiaTheme="minorEastAsia" w:hAnsi="Calibri"/>
                <w:color w:val="000000" w:themeColor="text1"/>
                <w:kern w:val="24"/>
                <w:sz w:val="20"/>
                <w:szCs w:val="20"/>
                <w:lang w:eastAsia="es-MX"/>
              </w:rPr>
            </w:pPr>
          </w:p>
          <w:p w:rsidR="007A1616" w:rsidRPr="007A1616" w:rsidRDefault="007A1616" w:rsidP="00653B28">
            <w:pPr>
              <w:spacing w:after="0" w:line="240" w:lineRule="auto"/>
              <w:ind w:right="175"/>
              <w:jc w:val="right"/>
              <w:textAlignment w:val="center"/>
              <w:rPr>
                <w:rFonts w:eastAsiaTheme="minorEastAsia" w:hAnsi="Calibri"/>
                <w:b/>
                <w:color w:val="000000" w:themeColor="text1"/>
                <w:kern w:val="24"/>
                <w:sz w:val="20"/>
                <w:szCs w:val="20"/>
                <w:lang w:eastAsia="es-MX"/>
              </w:rPr>
            </w:pPr>
            <w:r w:rsidRPr="007A1616">
              <w:rPr>
                <w:rFonts w:eastAsiaTheme="minorEastAsia" w:hAnsi="Calibri"/>
                <w:b/>
                <w:color w:val="000000" w:themeColor="text1"/>
                <w:kern w:val="24"/>
                <w:sz w:val="20"/>
                <w:szCs w:val="20"/>
                <w:lang w:eastAsia="es-MX"/>
              </w:rPr>
              <w:t>24,999,606.14</w:t>
            </w:r>
          </w:p>
          <w:p w:rsidR="00DB3C5D" w:rsidRDefault="00DB3C5D" w:rsidP="00653B28">
            <w:pPr>
              <w:spacing w:after="0" w:line="240" w:lineRule="auto"/>
              <w:ind w:right="175"/>
              <w:jc w:val="right"/>
              <w:textAlignment w:val="center"/>
              <w:rPr>
                <w:rFonts w:eastAsiaTheme="minorEastAsia" w:hAnsi="Calibri"/>
                <w:color w:val="000000" w:themeColor="text1"/>
                <w:kern w:val="24"/>
                <w:sz w:val="20"/>
                <w:szCs w:val="20"/>
                <w:lang w:eastAsia="es-MX"/>
              </w:rPr>
            </w:pPr>
          </w:p>
        </w:tc>
      </w:tr>
      <w:tr w:rsidR="00AD73E1" w:rsidRPr="0052474F" w:rsidTr="007C38D1">
        <w:trPr>
          <w:trHeight w:val="514"/>
          <w:tblHeader/>
        </w:trPr>
        <w:tc>
          <w:tcPr>
            <w:tcW w:w="8941" w:type="dxa"/>
            <w:gridSpan w:val="2"/>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hideMark/>
          </w:tcPr>
          <w:p w:rsidR="0052474F" w:rsidRPr="007C38D1" w:rsidRDefault="0052474F" w:rsidP="007C38D1">
            <w:pPr>
              <w:spacing w:after="0" w:line="240" w:lineRule="auto"/>
              <w:jc w:val="right"/>
              <w:textAlignment w:val="center"/>
              <w:rPr>
                <w:rFonts w:ascii="Arial" w:eastAsia="Times New Roman" w:hAnsi="Arial" w:cs="Arial"/>
                <w:b/>
                <w:lang w:eastAsia="es-MX"/>
              </w:rPr>
            </w:pPr>
            <w:r w:rsidRPr="007C38D1">
              <w:rPr>
                <w:rFonts w:ascii="Calibri" w:eastAsia="Times New Roman" w:hAnsi="Calibri" w:cs="Arial"/>
                <w:b/>
                <w:bCs/>
                <w:color w:val="000000" w:themeColor="text1"/>
                <w:kern w:val="24"/>
                <w:lang w:eastAsia="es-MX"/>
              </w:rPr>
              <w:t>Total implem</w:t>
            </w:r>
            <w:r w:rsidR="0016636F" w:rsidRPr="007C38D1">
              <w:rPr>
                <w:rFonts w:ascii="Calibri" w:eastAsia="Times New Roman" w:hAnsi="Calibri" w:cs="Arial"/>
                <w:b/>
                <w:bCs/>
                <w:color w:val="000000" w:themeColor="text1"/>
                <w:kern w:val="24"/>
                <w:lang w:eastAsia="es-MX"/>
              </w:rPr>
              <w:t>entación Proyectos Estratégicos</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hideMark/>
          </w:tcPr>
          <w:p w:rsidR="0052474F" w:rsidRPr="007C38D1" w:rsidRDefault="008060AD" w:rsidP="007C38D1">
            <w:pPr>
              <w:spacing w:after="0" w:line="240" w:lineRule="auto"/>
              <w:jc w:val="center"/>
              <w:rPr>
                <w:rFonts w:ascii="Arial" w:eastAsia="Times New Roman" w:hAnsi="Arial" w:cs="Arial"/>
                <w:b/>
                <w:lang w:eastAsia="es-MX"/>
              </w:rPr>
            </w:pPr>
            <w:r>
              <w:rPr>
                <w:rFonts w:ascii="Calibri" w:hAnsi="Calibri"/>
                <w:b/>
                <w:color w:val="000000"/>
              </w:rPr>
              <w:t>$67,764,495.48</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hideMark/>
          </w:tcPr>
          <w:p w:rsidR="0052474F" w:rsidRPr="007C38D1" w:rsidRDefault="008060AD" w:rsidP="007C38D1">
            <w:pPr>
              <w:spacing w:after="0" w:line="240" w:lineRule="auto"/>
              <w:jc w:val="center"/>
              <w:rPr>
                <w:rFonts w:ascii="Arial" w:eastAsia="Times New Roman" w:hAnsi="Arial" w:cs="Arial"/>
                <w:b/>
                <w:lang w:eastAsia="es-MX"/>
              </w:rPr>
            </w:pPr>
            <w:r>
              <w:rPr>
                <w:rFonts w:ascii="Calibri" w:hAnsi="Calibri"/>
                <w:b/>
                <w:color w:val="000000"/>
              </w:rPr>
              <w:t>$84,460,745.52</w:t>
            </w:r>
          </w:p>
        </w:tc>
        <w:tc>
          <w:tcPr>
            <w:tcW w:w="1603"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hideMark/>
          </w:tcPr>
          <w:p w:rsidR="0052474F" w:rsidRPr="007C38D1" w:rsidRDefault="008060AD" w:rsidP="007C38D1">
            <w:pPr>
              <w:spacing w:after="0" w:line="240" w:lineRule="auto"/>
              <w:jc w:val="center"/>
              <w:rPr>
                <w:rFonts w:ascii="Arial" w:eastAsia="Times New Roman" w:hAnsi="Arial" w:cs="Arial"/>
                <w:b/>
                <w:lang w:eastAsia="es-MX"/>
              </w:rPr>
            </w:pPr>
            <w:r>
              <w:rPr>
                <w:rFonts w:ascii="Calibri" w:hAnsi="Calibri"/>
                <w:b/>
                <w:color w:val="000000"/>
              </w:rPr>
              <w:t>$152,225,241.00</w:t>
            </w:r>
          </w:p>
        </w:tc>
      </w:tr>
    </w:tbl>
    <w:p w:rsidR="00F35053" w:rsidRDefault="00F35053">
      <w:r>
        <w:br w:type="page"/>
      </w:r>
    </w:p>
    <w:tbl>
      <w:tblPr>
        <w:tblpPr w:leftFromText="141" w:rightFromText="141" w:vertAnchor="page" w:horzAnchor="margin" w:tblpXSpec="center" w:tblpY="1726"/>
        <w:tblW w:w="13662" w:type="dxa"/>
        <w:tblCellMar>
          <w:left w:w="0" w:type="dxa"/>
          <w:right w:w="0" w:type="dxa"/>
        </w:tblCellMar>
        <w:tblLook w:val="0600" w:firstRow="0" w:lastRow="0" w:firstColumn="0" w:lastColumn="0" w:noHBand="1" w:noVBand="1"/>
      </w:tblPr>
      <w:tblGrid>
        <w:gridCol w:w="2677"/>
        <w:gridCol w:w="6170"/>
        <w:gridCol w:w="1663"/>
        <w:gridCol w:w="1550"/>
        <w:gridCol w:w="1602"/>
      </w:tblGrid>
      <w:tr w:rsidR="00EF7582" w:rsidRPr="0052474F" w:rsidTr="00EF7582">
        <w:trPr>
          <w:trHeight w:val="437"/>
          <w:tblHeader/>
        </w:trPr>
        <w:tc>
          <w:tcPr>
            <w:tcW w:w="2677"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lastRenderedPageBreak/>
              <w:t xml:space="preserve">Concepto </w:t>
            </w:r>
          </w:p>
        </w:tc>
        <w:tc>
          <w:tcPr>
            <w:tcW w:w="6170"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Requerimientos</w:t>
            </w:r>
          </w:p>
        </w:tc>
        <w:tc>
          <w:tcPr>
            <w:tcW w:w="1663"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Pr>
                <w:rFonts w:ascii="Calibri" w:eastAsia="Times New Roman" w:hAnsi="Calibri" w:cs="Arial"/>
                <w:b/>
                <w:bCs/>
                <w:color w:val="000000" w:themeColor="text1"/>
                <w:kern w:val="24"/>
                <w:sz w:val="20"/>
                <w:szCs w:val="20"/>
                <w:lang w:eastAsia="es-MX"/>
              </w:rPr>
              <w:t>Inversión Inicial</w:t>
            </w:r>
          </w:p>
        </w:tc>
        <w:tc>
          <w:tcPr>
            <w:tcW w:w="1550"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Gasto con afectación anual</w:t>
            </w:r>
          </w:p>
        </w:tc>
        <w:tc>
          <w:tcPr>
            <w:tcW w:w="1602"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Total Implementación</w:t>
            </w:r>
          </w:p>
        </w:tc>
      </w:tr>
      <w:tr w:rsidR="00EF7582" w:rsidRPr="003F6A99" w:rsidTr="00EF7582">
        <w:trPr>
          <w:trHeight w:val="2012"/>
          <w:tblHeader/>
        </w:trPr>
        <w:tc>
          <w:tcPr>
            <w:tcW w:w="267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DB3C5D" w:rsidRDefault="00EF7582" w:rsidP="00EF7582">
            <w:pPr>
              <w:spacing w:after="0" w:line="240" w:lineRule="auto"/>
              <w:textAlignment w:val="center"/>
              <w:rPr>
                <w:rFonts w:eastAsiaTheme="minorEastAsia" w:hAnsi="Calibri"/>
                <w:color w:val="000000" w:themeColor="text1"/>
                <w:kern w:val="24"/>
                <w:sz w:val="20"/>
                <w:szCs w:val="20"/>
                <w:lang w:eastAsia="es-MX"/>
              </w:rPr>
            </w:pPr>
            <w:r>
              <w:rPr>
                <w:rFonts w:eastAsiaTheme="minorEastAsia" w:hAnsi="Calibri"/>
                <w:color w:val="000000" w:themeColor="text1"/>
                <w:kern w:val="24"/>
                <w:sz w:val="20"/>
                <w:szCs w:val="20"/>
                <w:lang w:eastAsia="es-MX"/>
              </w:rPr>
              <w:t>Torre de juzgados partido judicial Mexicali</w:t>
            </w:r>
          </w:p>
          <w:p w:rsidR="00EF7582" w:rsidRDefault="00EF7582" w:rsidP="00EF7582">
            <w:pPr>
              <w:spacing w:after="0" w:line="240" w:lineRule="auto"/>
              <w:textAlignment w:val="center"/>
              <w:rPr>
                <w:rFonts w:eastAsiaTheme="minorEastAsia" w:hAnsi="Calibri"/>
                <w:color w:val="000000" w:themeColor="text1"/>
                <w:kern w:val="24"/>
                <w:sz w:val="20"/>
                <w:szCs w:val="20"/>
                <w:lang w:eastAsia="es-MX"/>
              </w:rPr>
            </w:pPr>
          </w:p>
        </w:tc>
        <w:tc>
          <w:tcPr>
            <w:tcW w:w="6170"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Pr>
                <w:rFonts w:ascii="Calibri" w:eastAsia="Times New Roman" w:hAnsi="Calibri" w:cs="Arial"/>
                <w:color w:val="000000" w:themeColor="text1"/>
                <w:kern w:val="24"/>
                <w:sz w:val="20"/>
                <w:szCs w:val="20"/>
                <w:lang w:eastAsia="es-MX"/>
              </w:rPr>
              <w:t xml:space="preserve"> Construcción de espacios para:</w:t>
            </w:r>
          </w:p>
          <w:p w:rsidR="00EF7582" w:rsidRPr="0016636F" w:rsidRDefault="00EF7582" w:rsidP="00EF7582">
            <w:pPr>
              <w:spacing w:after="0"/>
              <w:textAlignment w:val="center"/>
              <w:rPr>
                <w:rFonts w:ascii="Calibri" w:hAnsi="Calibri" w:cs="Arial"/>
                <w:color w:val="000000" w:themeColor="text1"/>
                <w:kern w:val="24"/>
                <w:sz w:val="20"/>
                <w:szCs w:val="20"/>
              </w:rPr>
            </w:pPr>
            <w:r>
              <w:rPr>
                <w:rFonts w:ascii="Calibri" w:hAnsi="Calibri" w:cs="Arial"/>
                <w:color w:val="000000" w:themeColor="text1"/>
                <w:kern w:val="24"/>
                <w:sz w:val="20"/>
                <w:szCs w:val="20"/>
              </w:rPr>
              <w:t xml:space="preserve">     -</w:t>
            </w:r>
            <w:r w:rsidRPr="0016636F">
              <w:rPr>
                <w:rFonts w:ascii="Calibri" w:hAnsi="Calibri" w:cs="Arial"/>
                <w:color w:val="000000" w:themeColor="text1"/>
                <w:kern w:val="24"/>
                <w:sz w:val="20"/>
                <w:szCs w:val="20"/>
              </w:rPr>
              <w:t>(8) Juzgados Civiles, (5) Juzgados Familiares, (4) Juzgados Mercantiles, (3) Juzgados Laborales, (5) Salas de audiencias,  central de actuarios, Oficialía de partes común Primera Instancia, centro de copiado, almacén general, cajas del Fondo Auxiliar, comedor y estacionamiento.</w:t>
            </w:r>
          </w:p>
          <w:p w:rsidR="00EF7582" w:rsidRDefault="00EF7582" w:rsidP="00EF7582">
            <w:pPr>
              <w:spacing w:after="0" w:line="240" w:lineRule="auto"/>
              <w:rPr>
                <w:rFonts w:ascii="Calibri" w:eastAsia="Times New Roman" w:hAnsi="Calibri" w:cs="Arial"/>
                <w:color w:val="000000" w:themeColor="text1"/>
                <w:kern w:val="24"/>
                <w:sz w:val="20"/>
                <w:szCs w:val="20"/>
                <w:lang w:eastAsia="es-MX"/>
              </w:rPr>
            </w:pPr>
            <w:r w:rsidRPr="003F6A99">
              <w:rPr>
                <w:rFonts w:ascii="Calibri" w:eastAsia="Times New Roman" w:hAnsi="Calibri" w:cs="Arial"/>
                <w:color w:val="000000" w:themeColor="text1"/>
                <w:kern w:val="24"/>
                <w:sz w:val="20"/>
                <w:szCs w:val="20"/>
                <w:lang w:eastAsia="es-MX"/>
              </w:rPr>
              <w:t>•</w:t>
            </w:r>
            <w:r>
              <w:rPr>
                <w:rFonts w:ascii="Calibri" w:eastAsia="Times New Roman" w:hAnsi="Calibri" w:cs="Arial"/>
                <w:color w:val="000000" w:themeColor="text1"/>
                <w:kern w:val="24"/>
                <w:sz w:val="20"/>
                <w:szCs w:val="20"/>
                <w:lang w:eastAsia="es-MX"/>
              </w:rPr>
              <w:t xml:space="preserve">Equipo de computo </w:t>
            </w:r>
          </w:p>
          <w:p w:rsidR="00EF7582" w:rsidRPr="00CE0BAD" w:rsidRDefault="00EF7582" w:rsidP="00EF7582">
            <w:pPr>
              <w:spacing w:after="0" w:line="240" w:lineRule="auto"/>
              <w:rPr>
                <w:rFonts w:ascii="Calibri" w:hAnsi="Calibri" w:cs="Arial"/>
                <w:color w:val="000000" w:themeColor="text1"/>
                <w:kern w:val="24"/>
                <w:sz w:val="20"/>
                <w:szCs w:val="20"/>
              </w:rPr>
            </w:pPr>
            <w:r w:rsidRPr="003F6A99">
              <w:rPr>
                <w:rFonts w:ascii="Calibri" w:eastAsia="Times New Roman" w:hAnsi="Calibri" w:cs="Arial"/>
                <w:color w:val="000000" w:themeColor="text1"/>
                <w:kern w:val="24"/>
                <w:sz w:val="20"/>
                <w:szCs w:val="20"/>
                <w:lang w:eastAsia="es-MX"/>
              </w:rPr>
              <w:t xml:space="preserve"> •</w:t>
            </w:r>
            <w:r>
              <w:rPr>
                <w:rFonts w:ascii="Calibri" w:eastAsia="Times New Roman" w:hAnsi="Calibri" w:cs="Arial"/>
                <w:color w:val="000000" w:themeColor="text1"/>
                <w:kern w:val="24"/>
                <w:sz w:val="20"/>
                <w:szCs w:val="20"/>
                <w:lang w:eastAsia="es-MX"/>
              </w:rPr>
              <w:t>Mobiliario</w:t>
            </w:r>
          </w:p>
          <w:p w:rsidR="00EF7582"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r>
              <w:rPr>
                <w:rFonts w:ascii="Calibri" w:eastAsia="Times New Roman" w:hAnsi="Calibri" w:cs="Arial"/>
                <w:color w:val="000000" w:themeColor="text1"/>
                <w:kern w:val="24"/>
                <w:sz w:val="20"/>
                <w:szCs w:val="20"/>
                <w:lang w:eastAsia="es-MX"/>
              </w:rPr>
              <w:t xml:space="preserve">• Voz y datos </w:t>
            </w:r>
          </w:p>
          <w:p w:rsidR="00EF7582" w:rsidRPr="003F6A99"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r>
              <w:rPr>
                <w:rFonts w:ascii="Calibri" w:eastAsia="Times New Roman" w:hAnsi="Calibri" w:cs="Arial"/>
                <w:color w:val="000000" w:themeColor="text1"/>
                <w:kern w:val="24"/>
                <w:sz w:val="20"/>
                <w:szCs w:val="20"/>
                <w:lang w:eastAsia="es-MX"/>
              </w:rPr>
              <w:t>• Equipamiento salas de audiencias.</w:t>
            </w:r>
          </w:p>
        </w:tc>
        <w:tc>
          <w:tcPr>
            <w:tcW w:w="166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7A1616" w:rsidRDefault="00EF7582" w:rsidP="00EF7582">
            <w:pPr>
              <w:spacing w:after="0" w:line="240" w:lineRule="auto"/>
              <w:ind w:right="132"/>
              <w:jc w:val="right"/>
              <w:textAlignment w:val="center"/>
              <w:rPr>
                <w:rFonts w:eastAsiaTheme="minorEastAsia" w:hAnsi="Calibri"/>
                <w:color w:val="000000" w:themeColor="text1"/>
                <w:kern w:val="24"/>
                <w:sz w:val="20"/>
                <w:szCs w:val="20"/>
                <w:lang w:eastAsia="es-MX"/>
              </w:rPr>
            </w:pPr>
            <w:r w:rsidRPr="007A1616">
              <w:rPr>
                <w:rFonts w:eastAsiaTheme="minorEastAsia" w:hAnsi="Calibri"/>
                <w:bCs/>
                <w:color w:val="000000" w:themeColor="text1"/>
                <w:kern w:val="24"/>
                <w:sz w:val="20"/>
                <w:szCs w:val="20"/>
                <w:lang w:eastAsia="es-MX"/>
              </w:rPr>
              <w:t xml:space="preserve">299,857,500.00 </w:t>
            </w:r>
          </w:p>
          <w:p w:rsidR="00EF7582" w:rsidRPr="007A1616" w:rsidRDefault="00EF7582" w:rsidP="00EF7582">
            <w:pPr>
              <w:spacing w:after="0" w:line="240" w:lineRule="auto"/>
              <w:ind w:right="132"/>
              <w:jc w:val="right"/>
              <w:textAlignment w:val="center"/>
              <w:rPr>
                <w:rFonts w:eastAsiaTheme="minorEastAsia" w:hAnsi="Calibri"/>
                <w:color w:val="000000" w:themeColor="text1"/>
                <w:kern w:val="24"/>
                <w:sz w:val="20"/>
                <w:szCs w:val="20"/>
                <w:lang w:eastAsia="es-MX"/>
              </w:rPr>
            </w:pPr>
          </w:p>
        </w:tc>
        <w:tc>
          <w:tcPr>
            <w:tcW w:w="1550"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7A1616" w:rsidRDefault="00EF7582" w:rsidP="00EF7582">
            <w:pPr>
              <w:spacing w:after="0" w:line="240" w:lineRule="auto"/>
              <w:jc w:val="right"/>
              <w:textAlignment w:val="center"/>
              <w:rPr>
                <w:rFonts w:eastAsiaTheme="minorEastAsia" w:hAnsi="Calibri"/>
                <w:color w:val="000000" w:themeColor="text1"/>
                <w:kern w:val="24"/>
                <w:sz w:val="20"/>
                <w:szCs w:val="20"/>
                <w:lang w:eastAsia="es-MX"/>
              </w:rPr>
            </w:pPr>
          </w:p>
        </w:tc>
        <w:tc>
          <w:tcPr>
            <w:tcW w:w="1602"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6B1874" w:rsidRDefault="00EF7582" w:rsidP="00EF7582">
            <w:pPr>
              <w:spacing w:after="0" w:line="240" w:lineRule="auto"/>
              <w:jc w:val="right"/>
              <w:textAlignment w:val="center"/>
              <w:rPr>
                <w:rFonts w:eastAsiaTheme="minorEastAsia" w:hAnsi="Calibri"/>
                <w:b/>
                <w:color w:val="000000" w:themeColor="text1"/>
                <w:kern w:val="24"/>
                <w:sz w:val="20"/>
                <w:szCs w:val="20"/>
                <w:lang w:eastAsia="es-MX"/>
              </w:rPr>
            </w:pPr>
            <w:r w:rsidRPr="006B1874">
              <w:rPr>
                <w:rFonts w:eastAsiaTheme="minorEastAsia" w:hAnsi="Calibri"/>
                <w:b/>
                <w:bCs/>
                <w:color w:val="000000" w:themeColor="text1"/>
                <w:kern w:val="24"/>
                <w:sz w:val="20"/>
                <w:szCs w:val="20"/>
                <w:lang w:eastAsia="es-MX"/>
              </w:rPr>
              <w:t xml:space="preserve">299,857,500.00 </w:t>
            </w:r>
          </w:p>
          <w:p w:rsidR="00EF7582" w:rsidRDefault="00EF7582" w:rsidP="00EF7582">
            <w:pPr>
              <w:spacing w:after="0" w:line="240" w:lineRule="auto"/>
              <w:jc w:val="right"/>
              <w:textAlignment w:val="center"/>
              <w:rPr>
                <w:rFonts w:eastAsiaTheme="minorEastAsia" w:hAnsi="Calibri"/>
                <w:color w:val="000000" w:themeColor="text1"/>
                <w:kern w:val="24"/>
                <w:sz w:val="20"/>
                <w:szCs w:val="20"/>
                <w:lang w:eastAsia="es-MX"/>
              </w:rPr>
            </w:pPr>
          </w:p>
        </w:tc>
      </w:tr>
      <w:tr w:rsidR="00EF7582" w:rsidRPr="003F6A99" w:rsidTr="00AC1639">
        <w:trPr>
          <w:trHeight w:val="603"/>
          <w:tblHeader/>
        </w:trPr>
        <w:tc>
          <w:tcPr>
            <w:tcW w:w="8847" w:type="dxa"/>
            <w:gridSpan w:val="2"/>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EF7582">
            <w:pPr>
              <w:spacing w:after="0" w:line="240" w:lineRule="auto"/>
              <w:jc w:val="right"/>
              <w:textAlignment w:val="center"/>
              <w:rPr>
                <w:rFonts w:ascii="Arial" w:eastAsia="Times New Roman" w:hAnsi="Arial" w:cs="Arial"/>
                <w:b/>
                <w:lang w:eastAsia="es-MX"/>
              </w:rPr>
            </w:pPr>
            <w:r>
              <w:rPr>
                <w:rFonts w:ascii="Calibri" w:eastAsia="Times New Roman" w:hAnsi="Calibri" w:cs="Arial"/>
                <w:b/>
                <w:bCs/>
                <w:color w:val="000000" w:themeColor="text1"/>
                <w:kern w:val="24"/>
                <w:lang w:eastAsia="es-MX"/>
              </w:rPr>
              <w:t>Total  Torre de Juzgados partido judicial Mexicali</w:t>
            </w:r>
          </w:p>
        </w:tc>
        <w:tc>
          <w:tcPr>
            <w:tcW w:w="1663"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AC1639">
            <w:pPr>
              <w:spacing w:after="0" w:line="240" w:lineRule="auto"/>
              <w:ind w:right="132"/>
              <w:jc w:val="right"/>
              <w:rPr>
                <w:rFonts w:ascii="Arial" w:eastAsia="Times New Roman" w:hAnsi="Arial" w:cs="Arial"/>
                <w:b/>
                <w:lang w:eastAsia="es-MX"/>
              </w:rPr>
            </w:pPr>
            <w:r>
              <w:rPr>
                <w:rFonts w:ascii="Calibri" w:hAnsi="Calibri"/>
                <w:b/>
                <w:color w:val="000000"/>
              </w:rPr>
              <w:t>$299,857,500.00</w:t>
            </w:r>
          </w:p>
        </w:tc>
        <w:tc>
          <w:tcPr>
            <w:tcW w:w="1550"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EF7582">
            <w:pPr>
              <w:spacing w:after="0" w:line="240" w:lineRule="auto"/>
              <w:jc w:val="center"/>
              <w:rPr>
                <w:rFonts w:ascii="Arial" w:eastAsia="Times New Roman" w:hAnsi="Arial" w:cs="Arial"/>
                <w:b/>
                <w:lang w:eastAsia="es-MX"/>
              </w:rPr>
            </w:pPr>
          </w:p>
        </w:tc>
        <w:tc>
          <w:tcPr>
            <w:tcW w:w="1602"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EF7582">
            <w:pPr>
              <w:spacing w:after="0" w:line="240" w:lineRule="auto"/>
              <w:jc w:val="center"/>
              <w:rPr>
                <w:rFonts w:ascii="Arial" w:eastAsia="Times New Roman" w:hAnsi="Arial" w:cs="Arial"/>
                <w:b/>
                <w:lang w:eastAsia="es-MX"/>
              </w:rPr>
            </w:pPr>
            <w:r>
              <w:rPr>
                <w:rFonts w:ascii="Calibri" w:hAnsi="Calibri"/>
                <w:b/>
                <w:color w:val="000000"/>
              </w:rPr>
              <w:t>$299,857,500.00</w:t>
            </w:r>
          </w:p>
        </w:tc>
      </w:tr>
    </w:tbl>
    <w:tbl>
      <w:tblPr>
        <w:tblpPr w:leftFromText="141" w:rightFromText="141" w:vertAnchor="page" w:horzAnchor="margin" w:tblpXSpec="center" w:tblpY="5971"/>
        <w:tblW w:w="13662" w:type="dxa"/>
        <w:tblCellMar>
          <w:left w:w="0" w:type="dxa"/>
          <w:right w:w="0" w:type="dxa"/>
        </w:tblCellMar>
        <w:tblLook w:val="0600" w:firstRow="0" w:lastRow="0" w:firstColumn="0" w:lastColumn="0" w:noHBand="1" w:noVBand="1"/>
      </w:tblPr>
      <w:tblGrid>
        <w:gridCol w:w="2704"/>
        <w:gridCol w:w="6237"/>
        <w:gridCol w:w="1559"/>
        <w:gridCol w:w="1559"/>
        <w:gridCol w:w="1603"/>
      </w:tblGrid>
      <w:tr w:rsidR="00EF7582" w:rsidRPr="0052474F" w:rsidTr="00EF7582">
        <w:trPr>
          <w:trHeight w:val="437"/>
          <w:tblHeader/>
        </w:trPr>
        <w:tc>
          <w:tcPr>
            <w:tcW w:w="2704"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 xml:space="preserve">Concepto </w:t>
            </w:r>
          </w:p>
        </w:tc>
        <w:tc>
          <w:tcPr>
            <w:tcW w:w="6237"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Requerimientos</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Pr>
                <w:rFonts w:ascii="Calibri" w:eastAsia="Times New Roman" w:hAnsi="Calibri" w:cs="Arial"/>
                <w:b/>
                <w:bCs/>
                <w:color w:val="000000" w:themeColor="text1"/>
                <w:kern w:val="24"/>
                <w:sz w:val="20"/>
                <w:szCs w:val="20"/>
                <w:lang w:eastAsia="es-MX"/>
              </w:rPr>
              <w:t>Inversión Inicial</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Gasto con afectación anual</w:t>
            </w:r>
          </w:p>
        </w:tc>
        <w:tc>
          <w:tcPr>
            <w:tcW w:w="1603" w:type="dxa"/>
            <w:tcBorders>
              <w:top w:val="single" w:sz="8" w:space="0" w:color="A5A5A5"/>
              <w:left w:val="single" w:sz="8" w:space="0" w:color="A5A5A5"/>
              <w:bottom w:val="single" w:sz="8" w:space="0" w:color="A5A5A5"/>
              <w:right w:val="single" w:sz="8" w:space="0" w:color="A5A5A5"/>
            </w:tcBorders>
            <w:shd w:val="clear" w:color="auto" w:fill="D9D9D9"/>
            <w:tcMar>
              <w:top w:w="10" w:type="dxa"/>
              <w:left w:w="10" w:type="dxa"/>
              <w:bottom w:w="0" w:type="dxa"/>
              <w:right w:w="10" w:type="dxa"/>
            </w:tcMar>
            <w:vAlign w:val="center"/>
            <w:hideMark/>
          </w:tcPr>
          <w:p w:rsidR="00EF7582" w:rsidRPr="0052474F" w:rsidRDefault="00EF7582" w:rsidP="00EF7582">
            <w:pPr>
              <w:spacing w:after="0" w:line="240" w:lineRule="auto"/>
              <w:jc w:val="center"/>
              <w:textAlignment w:val="center"/>
              <w:rPr>
                <w:rFonts w:ascii="Arial" w:eastAsia="Times New Roman" w:hAnsi="Arial" w:cs="Arial"/>
                <w:sz w:val="36"/>
                <w:szCs w:val="36"/>
                <w:lang w:eastAsia="es-MX"/>
              </w:rPr>
            </w:pPr>
            <w:r w:rsidRPr="0052474F">
              <w:rPr>
                <w:rFonts w:ascii="Calibri" w:eastAsia="Times New Roman" w:hAnsi="Calibri" w:cs="Arial"/>
                <w:b/>
                <w:bCs/>
                <w:color w:val="000000" w:themeColor="text1"/>
                <w:kern w:val="24"/>
                <w:sz w:val="20"/>
                <w:szCs w:val="20"/>
                <w:lang w:eastAsia="es-MX"/>
              </w:rPr>
              <w:t>Total Implementación</w:t>
            </w:r>
          </w:p>
        </w:tc>
      </w:tr>
      <w:tr w:rsidR="00EF7582" w:rsidTr="00EF7582">
        <w:trPr>
          <w:trHeight w:val="1011"/>
          <w:tblHeader/>
        </w:trPr>
        <w:tc>
          <w:tcPr>
            <w:tcW w:w="2704"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AC1639" w:rsidRDefault="00EF7582" w:rsidP="00EF7582">
            <w:pPr>
              <w:spacing w:after="0" w:line="240" w:lineRule="auto"/>
              <w:textAlignment w:val="center"/>
              <w:rPr>
                <w:rFonts w:eastAsiaTheme="minorEastAsia" w:hAnsi="Calibri"/>
                <w:color w:val="000000" w:themeColor="text1"/>
                <w:kern w:val="24"/>
                <w:sz w:val="20"/>
                <w:szCs w:val="20"/>
                <w:lang w:eastAsia="es-MX"/>
              </w:rPr>
            </w:pPr>
            <w:r>
              <w:rPr>
                <w:rFonts w:eastAsiaTheme="minorEastAsia" w:hAnsi="Calibri"/>
                <w:color w:val="000000" w:themeColor="text1"/>
                <w:kern w:val="24"/>
                <w:sz w:val="20"/>
                <w:szCs w:val="20"/>
                <w:lang w:eastAsia="es-MX"/>
              </w:rPr>
              <w:t xml:space="preserve">Adecuación edificio </w:t>
            </w:r>
          </w:p>
          <w:p w:rsidR="00EF7582" w:rsidRPr="00EF7582" w:rsidRDefault="00EF7582" w:rsidP="00EF7582">
            <w:pPr>
              <w:spacing w:after="0" w:line="240" w:lineRule="auto"/>
              <w:textAlignment w:val="center"/>
              <w:rPr>
                <w:rFonts w:eastAsiaTheme="minorEastAsia" w:hAnsi="Calibri"/>
                <w:color w:val="000000" w:themeColor="text1"/>
                <w:kern w:val="24"/>
                <w:sz w:val="20"/>
                <w:szCs w:val="20"/>
                <w:lang w:eastAsia="es-MX"/>
              </w:rPr>
            </w:pPr>
            <w:r w:rsidRPr="00EF7582">
              <w:rPr>
                <w:rFonts w:eastAsiaTheme="minorEastAsia" w:hAnsi="Calibri"/>
                <w:color w:val="000000" w:themeColor="text1"/>
                <w:kern w:val="24"/>
                <w:sz w:val="20"/>
                <w:szCs w:val="20"/>
                <w:lang w:eastAsia="es-MX"/>
              </w:rPr>
              <w:t>“La Encantada” en Tijuana</w:t>
            </w:r>
          </w:p>
        </w:tc>
        <w:tc>
          <w:tcPr>
            <w:tcW w:w="6237"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7C38D1"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r w:rsidRPr="007C38D1">
              <w:rPr>
                <w:rFonts w:ascii="Calibri" w:eastAsia="Times New Roman" w:hAnsi="Calibri" w:cs="Arial"/>
                <w:color w:val="000000" w:themeColor="text1"/>
                <w:kern w:val="24"/>
                <w:sz w:val="20"/>
                <w:szCs w:val="20"/>
                <w:lang w:eastAsia="es-MX"/>
              </w:rPr>
              <w:t xml:space="preserve">• Mobiliario </w:t>
            </w:r>
          </w:p>
          <w:p w:rsidR="00EF7582"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r w:rsidRPr="007C38D1">
              <w:rPr>
                <w:rFonts w:ascii="Calibri" w:eastAsia="Times New Roman" w:hAnsi="Calibri" w:cs="Arial"/>
                <w:color w:val="000000" w:themeColor="text1"/>
                <w:kern w:val="24"/>
                <w:sz w:val="20"/>
                <w:szCs w:val="20"/>
                <w:lang w:eastAsia="es-MX"/>
              </w:rPr>
              <w:t>• Equipamiento</w:t>
            </w:r>
          </w:p>
          <w:p w:rsidR="00EF7582"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p>
          <w:p w:rsidR="00EF7582" w:rsidRPr="007C38D1" w:rsidRDefault="0006303D" w:rsidP="00EF7582">
            <w:pPr>
              <w:spacing w:after="0" w:line="240" w:lineRule="auto"/>
              <w:textAlignment w:val="center"/>
              <w:rPr>
                <w:rFonts w:ascii="Calibri" w:hAnsi="Calibri" w:cs="Arial"/>
                <w:color w:val="000000" w:themeColor="text1"/>
                <w:kern w:val="24"/>
                <w:sz w:val="20"/>
                <w:szCs w:val="20"/>
              </w:rPr>
            </w:pPr>
            <w:r>
              <w:rPr>
                <w:rFonts w:ascii="Calibri" w:eastAsia="Times New Roman" w:hAnsi="Calibri" w:cs="Arial"/>
                <w:color w:val="000000" w:themeColor="text1"/>
                <w:kern w:val="24"/>
                <w:sz w:val="20"/>
                <w:szCs w:val="20"/>
                <w:lang w:eastAsia="es-MX"/>
              </w:rPr>
              <w:t xml:space="preserve">NOTA: La inversión correspondiente a trabajos de rehabilitación, obras para servicio de energía eléctrica y obras para servicio de agua potable y drenaje se encuentra  a cargo de Gobierno del Estado. </w:t>
            </w:r>
          </w:p>
          <w:p w:rsidR="00EF7582" w:rsidRPr="007C38D1" w:rsidRDefault="00EF7582" w:rsidP="00EF7582">
            <w:pPr>
              <w:spacing w:after="0" w:line="240" w:lineRule="auto"/>
              <w:textAlignment w:val="center"/>
              <w:rPr>
                <w:rFonts w:ascii="Calibri" w:eastAsia="Times New Roman" w:hAnsi="Calibri" w:cs="Arial"/>
                <w:color w:val="000000" w:themeColor="text1"/>
                <w:kern w:val="24"/>
                <w:sz w:val="20"/>
                <w:szCs w:val="20"/>
                <w:lang w:eastAsia="es-MX"/>
              </w:rPr>
            </w:pPr>
            <w:r w:rsidRPr="007C38D1">
              <w:rPr>
                <w:rFonts w:ascii="Calibri" w:eastAsia="Times New Roman" w:hAnsi="Calibri" w:cs="Arial"/>
                <w:color w:val="000000" w:themeColor="text1"/>
                <w:kern w:val="24"/>
                <w:sz w:val="20"/>
                <w:szCs w:val="20"/>
                <w:lang w:eastAsia="es-MX"/>
              </w:rPr>
              <w:t xml:space="preserve"> </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7C38D1" w:rsidRDefault="00EF7582" w:rsidP="00EF7582">
            <w:pPr>
              <w:spacing w:after="0" w:line="240" w:lineRule="auto"/>
              <w:ind w:right="132"/>
              <w:jc w:val="right"/>
              <w:textAlignment w:val="center"/>
              <w:rPr>
                <w:rFonts w:eastAsiaTheme="minorEastAsia" w:hAnsi="Calibri"/>
                <w:bCs/>
                <w:color w:val="000000" w:themeColor="text1"/>
                <w:kern w:val="24"/>
                <w:sz w:val="20"/>
                <w:szCs w:val="20"/>
                <w:lang w:eastAsia="es-MX"/>
              </w:rPr>
            </w:pPr>
            <w:r>
              <w:rPr>
                <w:rFonts w:eastAsiaTheme="minorEastAsia" w:hAnsi="Calibri"/>
                <w:bCs/>
                <w:color w:val="000000" w:themeColor="text1"/>
                <w:kern w:val="24"/>
                <w:sz w:val="20"/>
                <w:szCs w:val="20"/>
                <w:lang w:eastAsia="es-MX"/>
              </w:rPr>
              <w:t>71,196,773.59</w:t>
            </w:r>
          </w:p>
        </w:tc>
        <w:tc>
          <w:tcPr>
            <w:tcW w:w="1559"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7C38D1" w:rsidRDefault="00EF7582" w:rsidP="00EF7582">
            <w:pPr>
              <w:spacing w:after="0" w:line="240" w:lineRule="auto"/>
              <w:jc w:val="right"/>
              <w:textAlignment w:val="center"/>
              <w:rPr>
                <w:rFonts w:eastAsiaTheme="minorEastAsia" w:hAnsi="Calibri"/>
                <w:color w:val="000000" w:themeColor="text1"/>
                <w:kern w:val="24"/>
                <w:sz w:val="20"/>
                <w:szCs w:val="20"/>
                <w:lang w:eastAsia="es-MX"/>
              </w:rPr>
            </w:pPr>
          </w:p>
        </w:tc>
        <w:tc>
          <w:tcPr>
            <w:tcW w:w="1603" w:type="dxa"/>
            <w:tcBorders>
              <w:top w:val="single" w:sz="8" w:space="0" w:color="A5A5A5"/>
              <w:left w:val="single" w:sz="8" w:space="0" w:color="A5A5A5"/>
              <w:bottom w:val="single" w:sz="8" w:space="0" w:color="A5A5A5"/>
              <w:right w:val="single" w:sz="8" w:space="0" w:color="A5A5A5"/>
            </w:tcBorders>
            <w:shd w:val="clear" w:color="auto" w:fill="auto"/>
            <w:tcMar>
              <w:top w:w="10" w:type="dxa"/>
              <w:left w:w="10" w:type="dxa"/>
              <w:bottom w:w="0" w:type="dxa"/>
              <w:right w:w="10" w:type="dxa"/>
            </w:tcMar>
            <w:vAlign w:val="center"/>
          </w:tcPr>
          <w:p w:rsidR="00EF7582" w:rsidRPr="007C38D1" w:rsidRDefault="00EF7582" w:rsidP="00EF7582">
            <w:pPr>
              <w:spacing w:after="0" w:line="240" w:lineRule="auto"/>
              <w:jc w:val="right"/>
              <w:textAlignment w:val="center"/>
              <w:rPr>
                <w:rFonts w:eastAsiaTheme="minorEastAsia" w:hAnsi="Calibri"/>
                <w:b/>
                <w:bCs/>
                <w:color w:val="000000" w:themeColor="text1"/>
                <w:kern w:val="24"/>
                <w:sz w:val="20"/>
                <w:szCs w:val="20"/>
                <w:lang w:eastAsia="es-MX"/>
              </w:rPr>
            </w:pPr>
            <w:r>
              <w:rPr>
                <w:rFonts w:eastAsiaTheme="minorEastAsia" w:hAnsi="Calibri"/>
                <w:b/>
                <w:bCs/>
                <w:color w:val="000000" w:themeColor="text1"/>
                <w:kern w:val="24"/>
                <w:sz w:val="20"/>
                <w:szCs w:val="20"/>
                <w:lang w:eastAsia="es-MX"/>
              </w:rPr>
              <w:t>71,196,773.59</w:t>
            </w:r>
          </w:p>
        </w:tc>
      </w:tr>
      <w:tr w:rsidR="00EF7582" w:rsidRPr="007C38D1" w:rsidTr="00AC1639">
        <w:trPr>
          <w:trHeight w:val="603"/>
          <w:tblHeader/>
        </w:trPr>
        <w:tc>
          <w:tcPr>
            <w:tcW w:w="8941" w:type="dxa"/>
            <w:gridSpan w:val="2"/>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6B253A" w:rsidP="00EF7582">
            <w:pPr>
              <w:spacing w:after="0" w:line="240" w:lineRule="auto"/>
              <w:jc w:val="right"/>
              <w:textAlignment w:val="center"/>
              <w:rPr>
                <w:rFonts w:ascii="Arial" w:eastAsia="Times New Roman" w:hAnsi="Arial" w:cs="Arial"/>
                <w:b/>
                <w:lang w:eastAsia="es-MX"/>
              </w:rPr>
            </w:pPr>
            <w:r>
              <w:rPr>
                <w:rFonts w:ascii="Calibri" w:eastAsia="Times New Roman" w:hAnsi="Calibri" w:cs="Arial"/>
                <w:b/>
                <w:bCs/>
                <w:color w:val="000000" w:themeColor="text1"/>
                <w:kern w:val="24"/>
                <w:lang w:eastAsia="es-MX"/>
              </w:rPr>
              <w:t>Total  Adecuación edificio “La Encantada”</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EF7582">
            <w:pPr>
              <w:spacing w:after="0" w:line="240" w:lineRule="auto"/>
              <w:ind w:right="132"/>
              <w:jc w:val="right"/>
              <w:rPr>
                <w:rFonts w:ascii="Arial" w:eastAsia="Times New Roman" w:hAnsi="Arial" w:cs="Arial"/>
                <w:b/>
                <w:lang w:eastAsia="es-MX"/>
              </w:rPr>
            </w:pPr>
            <w:r>
              <w:rPr>
                <w:rFonts w:ascii="Calibri" w:hAnsi="Calibri"/>
                <w:b/>
                <w:color w:val="000000"/>
              </w:rPr>
              <w:t>$71,196,773.59</w:t>
            </w:r>
          </w:p>
        </w:tc>
        <w:tc>
          <w:tcPr>
            <w:tcW w:w="1559"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EF7582">
            <w:pPr>
              <w:spacing w:after="0" w:line="240" w:lineRule="auto"/>
              <w:jc w:val="right"/>
              <w:rPr>
                <w:rFonts w:ascii="Arial" w:eastAsia="Times New Roman" w:hAnsi="Arial" w:cs="Arial"/>
                <w:b/>
                <w:lang w:eastAsia="es-MX"/>
              </w:rPr>
            </w:pPr>
          </w:p>
        </w:tc>
        <w:tc>
          <w:tcPr>
            <w:tcW w:w="1603" w:type="dxa"/>
            <w:tcBorders>
              <w:top w:val="single" w:sz="8" w:space="0" w:color="A5A5A5"/>
              <w:left w:val="single" w:sz="8" w:space="0" w:color="A5A5A5"/>
              <w:bottom w:val="single" w:sz="8" w:space="0" w:color="A5A5A5"/>
              <w:right w:val="single" w:sz="8" w:space="0" w:color="A5A5A5"/>
            </w:tcBorders>
            <w:shd w:val="clear" w:color="auto" w:fill="D9D9D9" w:themeFill="background1" w:themeFillShade="D9"/>
            <w:tcMar>
              <w:top w:w="10" w:type="dxa"/>
              <w:left w:w="10" w:type="dxa"/>
              <w:bottom w:w="0" w:type="dxa"/>
              <w:right w:w="10" w:type="dxa"/>
            </w:tcMar>
            <w:vAlign w:val="center"/>
          </w:tcPr>
          <w:p w:rsidR="00EF7582" w:rsidRPr="007C38D1" w:rsidRDefault="00EF7582" w:rsidP="00EF7582">
            <w:pPr>
              <w:spacing w:after="0" w:line="240" w:lineRule="auto"/>
              <w:jc w:val="right"/>
              <w:rPr>
                <w:rFonts w:ascii="Arial" w:eastAsia="Times New Roman" w:hAnsi="Arial" w:cs="Arial"/>
                <w:b/>
                <w:lang w:eastAsia="es-MX"/>
              </w:rPr>
            </w:pPr>
            <w:r>
              <w:rPr>
                <w:rFonts w:ascii="Calibri" w:hAnsi="Calibri"/>
                <w:b/>
                <w:color w:val="000000"/>
              </w:rPr>
              <w:t>$71,196,773.59</w:t>
            </w:r>
          </w:p>
        </w:tc>
      </w:tr>
    </w:tbl>
    <w:p w:rsidR="00F67628" w:rsidRDefault="00F67628" w:rsidP="007C38D1">
      <w:pPr>
        <w:tabs>
          <w:tab w:val="left" w:pos="4500"/>
        </w:tabs>
        <w:rPr>
          <w:sz w:val="28"/>
          <w:szCs w:val="28"/>
        </w:rPr>
      </w:pPr>
    </w:p>
    <w:p w:rsidR="00F35053" w:rsidRPr="007C38D1" w:rsidRDefault="00F35053" w:rsidP="007C38D1">
      <w:pPr>
        <w:tabs>
          <w:tab w:val="left" w:pos="4500"/>
        </w:tabs>
        <w:rPr>
          <w:sz w:val="28"/>
          <w:szCs w:val="28"/>
        </w:rPr>
      </w:pPr>
    </w:p>
    <w:sectPr w:rsidR="00F35053" w:rsidRPr="007C38D1" w:rsidSect="0016636F">
      <w:headerReference w:type="default" r:id="rId8"/>
      <w:pgSz w:w="15840" w:h="12240" w:orient="landscape"/>
      <w:pgMar w:top="179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57" w:rsidRDefault="00904357" w:rsidP="0052474F">
      <w:pPr>
        <w:spacing w:after="0" w:line="240" w:lineRule="auto"/>
      </w:pPr>
      <w:r>
        <w:separator/>
      </w:r>
    </w:p>
  </w:endnote>
  <w:endnote w:type="continuationSeparator" w:id="0">
    <w:p w:rsidR="00904357" w:rsidRDefault="00904357" w:rsidP="0052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Adobe Devanagari">
    <w:panose1 w:val="00000000000000000000"/>
    <w:charset w:val="00"/>
    <w:family w:val="roman"/>
    <w:notTrueType/>
    <w:pitch w:val="variable"/>
    <w:sig w:usb0="A00080EF"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57" w:rsidRDefault="00904357" w:rsidP="0052474F">
      <w:pPr>
        <w:spacing w:after="0" w:line="240" w:lineRule="auto"/>
      </w:pPr>
      <w:r>
        <w:separator/>
      </w:r>
    </w:p>
  </w:footnote>
  <w:footnote w:type="continuationSeparator" w:id="0">
    <w:p w:rsidR="00904357" w:rsidRDefault="00904357" w:rsidP="00524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82" w:rsidRPr="0016636F" w:rsidRDefault="00EF7582" w:rsidP="0016636F">
    <w:pPr>
      <w:pStyle w:val="Encabezado"/>
      <w:jc w:val="center"/>
      <w:rPr>
        <w:rFonts w:ascii="Arial Black" w:eastAsia="Adobe Heiti Std R" w:hAnsi="Arial Black" w:cs="Adobe Devanagari"/>
        <w:b/>
        <w:sz w:val="28"/>
        <w:szCs w:val="28"/>
      </w:rPr>
    </w:pPr>
    <w:r w:rsidRPr="0016636F">
      <w:rPr>
        <w:rFonts w:ascii="Arial Black" w:eastAsia="Adobe Heiti Std R" w:hAnsi="Arial Black" w:cs="Adobe Devanagari"/>
        <w:b/>
        <w:sz w:val="28"/>
        <w:szCs w:val="28"/>
      </w:rPr>
      <w:t>PROYECTOS ESTRAT</w:t>
    </w:r>
    <w:r w:rsidRPr="0016636F">
      <w:rPr>
        <w:rFonts w:ascii="Arial Black" w:eastAsia="MS Gothic" w:hAnsi="Arial Black" w:cs="MS Gothic"/>
        <w:b/>
        <w:sz w:val="28"/>
        <w:szCs w:val="28"/>
      </w:rPr>
      <w:t>É</w:t>
    </w:r>
    <w:r w:rsidRPr="0016636F">
      <w:rPr>
        <w:rFonts w:ascii="Arial Black" w:eastAsia="Adobe Heiti Std R" w:hAnsi="Arial Black" w:cs="Adobe Devanagari"/>
        <w:b/>
        <w:sz w:val="28"/>
        <w:szCs w:val="28"/>
      </w:rPr>
      <w:t>GICOS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CC5"/>
    <w:multiLevelType w:val="hybridMultilevel"/>
    <w:tmpl w:val="8D0A1DAE"/>
    <w:lvl w:ilvl="0" w:tplc="0C185590">
      <w:start w:val="1"/>
      <w:numFmt w:val="bullet"/>
      <w:lvlText w:val="-"/>
      <w:lvlJc w:val="left"/>
      <w:pPr>
        <w:tabs>
          <w:tab w:val="num" w:pos="720"/>
        </w:tabs>
        <w:ind w:left="720" w:hanging="360"/>
      </w:pPr>
      <w:rPr>
        <w:rFonts w:ascii="Arial" w:hAnsi="Arial" w:hint="default"/>
      </w:rPr>
    </w:lvl>
    <w:lvl w:ilvl="1" w:tplc="D6C01742" w:tentative="1">
      <w:start w:val="1"/>
      <w:numFmt w:val="bullet"/>
      <w:lvlText w:val="-"/>
      <w:lvlJc w:val="left"/>
      <w:pPr>
        <w:tabs>
          <w:tab w:val="num" w:pos="1440"/>
        </w:tabs>
        <w:ind w:left="1440" w:hanging="360"/>
      </w:pPr>
      <w:rPr>
        <w:rFonts w:ascii="Arial" w:hAnsi="Arial" w:hint="default"/>
      </w:rPr>
    </w:lvl>
    <w:lvl w:ilvl="2" w:tplc="9E8CDE52" w:tentative="1">
      <w:start w:val="1"/>
      <w:numFmt w:val="bullet"/>
      <w:lvlText w:val="-"/>
      <w:lvlJc w:val="left"/>
      <w:pPr>
        <w:tabs>
          <w:tab w:val="num" w:pos="2160"/>
        </w:tabs>
        <w:ind w:left="2160" w:hanging="360"/>
      </w:pPr>
      <w:rPr>
        <w:rFonts w:ascii="Arial" w:hAnsi="Arial" w:hint="default"/>
      </w:rPr>
    </w:lvl>
    <w:lvl w:ilvl="3" w:tplc="7FFC53E0" w:tentative="1">
      <w:start w:val="1"/>
      <w:numFmt w:val="bullet"/>
      <w:lvlText w:val="-"/>
      <w:lvlJc w:val="left"/>
      <w:pPr>
        <w:tabs>
          <w:tab w:val="num" w:pos="2880"/>
        </w:tabs>
        <w:ind w:left="2880" w:hanging="360"/>
      </w:pPr>
      <w:rPr>
        <w:rFonts w:ascii="Arial" w:hAnsi="Arial" w:hint="default"/>
      </w:rPr>
    </w:lvl>
    <w:lvl w:ilvl="4" w:tplc="23A00290" w:tentative="1">
      <w:start w:val="1"/>
      <w:numFmt w:val="bullet"/>
      <w:lvlText w:val="-"/>
      <w:lvlJc w:val="left"/>
      <w:pPr>
        <w:tabs>
          <w:tab w:val="num" w:pos="3600"/>
        </w:tabs>
        <w:ind w:left="3600" w:hanging="360"/>
      </w:pPr>
      <w:rPr>
        <w:rFonts w:ascii="Arial" w:hAnsi="Arial" w:hint="default"/>
      </w:rPr>
    </w:lvl>
    <w:lvl w:ilvl="5" w:tplc="B854EC86" w:tentative="1">
      <w:start w:val="1"/>
      <w:numFmt w:val="bullet"/>
      <w:lvlText w:val="-"/>
      <w:lvlJc w:val="left"/>
      <w:pPr>
        <w:tabs>
          <w:tab w:val="num" w:pos="4320"/>
        </w:tabs>
        <w:ind w:left="4320" w:hanging="360"/>
      </w:pPr>
      <w:rPr>
        <w:rFonts w:ascii="Arial" w:hAnsi="Arial" w:hint="default"/>
      </w:rPr>
    </w:lvl>
    <w:lvl w:ilvl="6" w:tplc="5D9237EE" w:tentative="1">
      <w:start w:val="1"/>
      <w:numFmt w:val="bullet"/>
      <w:lvlText w:val="-"/>
      <w:lvlJc w:val="left"/>
      <w:pPr>
        <w:tabs>
          <w:tab w:val="num" w:pos="5040"/>
        </w:tabs>
        <w:ind w:left="5040" w:hanging="360"/>
      </w:pPr>
      <w:rPr>
        <w:rFonts w:ascii="Arial" w:hAnsi="Arial" w:hint="default"/>
      </w:rPr>
    </w:lvl>
    <w:lvl w:ilvl="7" w:tplc="063EB99E" w:tentative="1">
      <w:start w:val="1"/>
      <w:numFmt w:val="bullet"/>
      <w:lvlText w:val="-"/>
      <w:lvlJc w:val="left"/>
      <w:pPr>
        <w:tabs>
          <w:tab w:val="num" w:pos="5760"/>
        </w:tabs>
        <w:ind w:left="5760" w:hanging="360"/>
      </w:pPr>
      <w:rPr>
        <w:rFonts w:ascii="Arial" w:hAnsi="Arial" w:hint="default"/>
      </w:rPr>
    </w:lvl>
    <w:lvl w:ilvl="8" w:tplc="823821DE" w:tentative="1">
      <w:start w:val="1"/>
      <w:numFmt w:val="bullet"/>
      <w:lvlText w:val="-"/>
      <w:lvlJc w:val="left"/>
      <w:pPr>
        <w:tabs>
          <w:tab w:val="num" w:pos="6480"/>
        </w:tabs>
        <w:ind w:left="6480" w:hanging="360"/>
      </w:pPr>
      <w:rPr>
        <w:rFonts w:ascii="Arial" w:hAnsi="Arial" w:hint="default"/>
      </w:rPr>
    </w:lvl>
  </w:abstractNum>
  <w:abstractNum w:abstractNumId="1">
    <w:nsid w:val="150E70AF"/>
    <w:multiLevelType w:val="hybridMultilevel"/>
    <w:tmpl w:val="EABCE272"/>
    <w:lvl w:ilvl="0" w:tplc="3806AD2C">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AF0D60"/>
    <w:multiLevelType w:val="hybridMultilevel"/>
    <w:tmpl w:val="942E1EBC"/>
    <w:lvl w:ilvl="0" w:tplc="855CAA94">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EE97D17"/>
    <w:multiLevelType w:val="hybridMultilevel"/>
    <w:tmpl w:val="F9AA72D2"/>
    <w:lvl w:ilvl="0" w:tplc="C0FABC64">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3D1CC3"/>
    <w:multiLevelType w:val="hybridMultilevel"/>
    <w:tmpl w:val="F648DFD6"/>
    <w:lvl w:ilvl="0" w:tplc="48626C30">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BE3FA3"/>
    <w:multiLevelType w:val="hybridMultilevel"/>
    <w:tmpl w:val="E86AD742"/>
    <w:lvl w:ilvl="0" w:tplc="02E8BC22">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4F"/>
    <w:rsid w:val="000374E3"/>
    <w:rsid w:val="00043871"/>
    <w:rsid w:val="0006303D"/>
    <w:rsid w:val="0016636F"/>
    <w:rsid w:val="0026349B"/>
    <w:rsid w:val="003F6A99"/>
    <w:rsid w:val="004C2985"/>
    <w:rsid w:val="0052474F"/>
    <w:rsid w:val="00653B28"/>
    <w:rsid w:val="006B1874"/>
    <w:rsid w:val="006B253A"/>
    <w:rsid w:val="007655B9"/>
    <w:rsid w:val="007A1616"/>
    <w:rsid w:val="007C38D1"/>
    <w:rsid w:val="008060AD"/>
    <w:rsid w:val="00884439"/>
    <w:rsid w:val="008A68D3"/>
    <w:rsid w:val="00904357"/>
    <w:rsid w:val="00991B8E"/>
    <w:rsid w:val="009D1DA6"/>
    <w:rsid w:val="00A0682B"/>
    <w:rsid w:val="00A643BE"/>
    <w:rsid w:val="00AC1639"/>
    <w:rsid w:val="00AD73E1"/>
    <w:rsid w:val="00B066FE"/>
    <w:rsid w:val="00B12CB8"/>
    <w:rsid w:val="00C87711"/>
    <w:rsid w:val="00CE0BAD"/>
    <w:rsid w:val="00D566D9"/>
    <w:rsid w:val="00DB3C5D"/>
    <w:rsid w:val="00EA22B9"/>
    <w:rsid w:val="00EF7582"/>
    <w:rsid w:val="00F12546"/>
    <w:rsid w:val="00F35053"/>
    <w:rsid w:val="00F67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47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2474F"/>
    <w:pPr>
      <w:spacing w:after="0" w:line="240" w:lineRule="auto"/>
      <w:ind w:left="720"/>
      <w:contextualSpacing/>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24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74F"/>
  </w:style>
  <w:style w:type="paragraph" w:styleId="Piedepgina">
    <w:name w:val="footer"/>
    <w:basedOn w:val="Normal"/>
    <w:link w:val="PiedepginaCar"/>
    <w:uiPriority w:val="99"/>
    <w:unhideWhenUsed/>
    <w:rsid w:val="00524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47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2474F"/>
    <w:pPr>
      <w:spacing w:after="0" w:line="240" w:lineRule="auto"/>
      <w:ind w:left="720"/>
      <w:contextualSpacing/>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24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74F"/>
  </w:style>
  <w:style w:type="paragraph" w:styleId="Piedepgina">
    <w:name w:val="footer"/>
    <w:basedOn w:val="Normal"/>
    <w:link w:val="PiedepginaCar"/>
    <w:uiPriority w:val="99"/>
    <w:unhideWhenUsed/>
    <w:rsid w:val="00524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51">
      <w:bodyDiv w:val="1"/>
      <w:marLeft w:val="0"/>
      <w:marRight w:val="0"/>
      <w:marTop w:val="0"/>
      <w:marBottom w:val="0"/>
      <w:divBdr>
        <w:top w:val="none" w:sz="0" w:space="0" w:color="auto"/>
        <w:left w:val="none" w:sz="0" w:space="0" w:color="auto"/>
        <w:bottom w:val="none" w:sz="0" w:space="0" w:color="auto"/>
        <w:right w:val="none" w:sz="0" w:space="0" w:color="auto"/>
      </w:divBdr>
    </w:div>
    <w:div w:id="152572342">
      <w:bodyDiv w:val="1"/>
      <w:marLeft w:val="0"/>
      <w:marRight w:val="0"/>
      <w:marTop w:val="0"/>
      <w:marBottom w:val="0"/>
      <w:divBdr>
        <w:top w:val="none" w:sz="0" w:space="0" w:color="auto"/>
        <w:left w:val="none" w:sz="0" w:space="0" w:color="auto"/>
        <w:bottom w:val="none" w:sz="0" w:space="0" w:color="auto"/>
        <w:right w:val="none" w:sz="0" w:space="0" w:color="auto"/>
      </w:divBdr>
    </w:div>
    <w:div w:id="196238583">
      <w:bodyDiv w:val="1"/>
      <w:marLeft w:val="0"/>
      <w:marRight w:val="0"/>
      <w:marTop w:val="0"/>
      <w:marBottom w:val="0"/>
      <w:divBdr>
        <w:top w:val="none" w:sz="0" w:space="0" w:color="auto"/>
        <w:left w:val="none" w:sz="0" w:space="0" w:color="auto"/>
        <w:bottom w:val="none" w:sz="0" w:space="0" w:color="auto"/>
        <w:right w:val="none" w:sz="0" w:space="0" w:color="auto"/>
      </w:divBdr>
    </w:div>
    <w:div w:id="261301905">
      <w:bodyDiv w:val="1"/>
      <w:marLeft w:val="0"/>
      <w:marRight w:val="0"/>
      <w:marTop w:val="0"/>
      <w:marBottom w:val="0"/>
      <w:divBdr>
        <w:top w:val="none" w:sz="0" w:space="0" w:color="auto"/>
        <w:left w:val="none" w:sz="0" w:space="0" w:color="auto"/>
        <w:bottom w:val="none" w:sz="0" w:space="0" w:color="auto"/>
        <w:right w:val="none" w:sz="0" w:space="0" w:color="auto"/>
      </w:divBdr>
    </w:div>
    <w:div w:id="342126660">
      <w:bodyDiv w:val="1"/>
      <w:marLeft w:val="0"/>
      <w:marRight w:val="0"/>
      <w:marTop w:val="0"/>
      <w:marBottom w:val="0"/>
      <w:divBdr>
        <w:top w:val="none" w:sz="0" w:space="0" w:color="auto"/>
        <w:left w:val="none" w:sz="0" w:space="0" w:color="auto"/>
        <w:bottom w:val="none" w:sz="0" w:space="0" w:color="auto"/>
        <w:right w:val="none" w:sz="0" w:space="0" w:color="auto"/>
      </w:divBdr>
    </w:div>
    <w:div w:id="366417672">
      <w:bodyDiv w:val="1"/>
      <w:marLeft w:val="0"/>
      <w:marRight w:val="0"/>
      <w:marTop w:val="0"/>
      <w:marBottom w:val="0"/>
      <w:divBdr>
        <w:top w:val="none" w:sz="0" w:space="0" w:color="auto"/>
        <w:left w:val="none" w:sz="0" w:space="0" w:color="auto"/>
        <w:bottom w:val="none" w:sz="0" w:space="0" w:color="auto"/>
        <w:right w:val="none" w:sz="0" w:space="0" w:color="auto"/>
      </w:divBdr>
    </w:div>
    <w:div w:id="543061916">
      <w:bodyDiv w:val="1"/>
      <w:marLeft w:val="0"/>
      <w:marRight w:val="0"/>
      <w:marTop w:val="0"/>
      <w:marBottom w:val="0"/>
      <w:divBdr>
        <w:top w:val="none" w:sz="0" w:space="0" w:color="auto"/>
        <w:left w:val="none" w:sz="0" w:space="0" w:color="auto"/>
        <w:bottom w:val="none" w:sz="0" w:space="0" w:color="auto"/>
        <w:right w:val="none" w:sz="0" w:space="0" w:color="auto"/>
      </w:divBdr>
    </w:div>
    <w:div w:id="988902446">
      <w:bodyDiv w:val="1"/>
      <w:marLeft w:val="0"/>
      <w:marRight w:val="0"/>
      <w:marTop w:val="0"/>
      <w:marBottom w:val="0"/>
      <w:divBdr>
        <w:top w:val="none" w:sz="0" w:space="0" w:color="auto"/>
        <w:left w:val="none" w:sz="0" w:space="0" w:color="auto"/>
        <w:bottom w:val="none" w:sz="0" w:space="0" w:color="auto"/>
        <w:right w:val="none" w:sz="0" w:space="0" w:color="auto"/>
      </w:divBdr>
      <w:divsChild>
        <w:div w:id="369301454">
          <w:marLeft w:val="274"/>
          <w:marRight w:val="0"/>
          <w:marTop w:val="0"/>
          <w:marBottom w:val="0"/>
          <w:divBdr>
            <w:top w:val="none" w:sz="0" w:space="0" w:color="auto"/>
            <w:left w:val="none" w:sz="0" w:space="0" w:color="auto"/>
            <w:bottom w:val="none" w:sz="0" w:space="0" w:color="auto"/>
            <w:right w:val="none" w:sz="0" w:space="0" w:color="auto"/>
          </w:divBdr>
        </w:div>
        <w:div w:id="112141302">
          <w:marLeft w:val="274"/>
          <w:marRight w:val="0"/>
          <w:marTop w:val="0"/>
          <w:marBottom w:val="0"/>
          <w:divBdr>
            <w:top w:val="none" w:sz="0" w:space="0" w:color="auto"/>
            <w:left w:val="none" w:sz="0" w:space="0" w:color="auto"/>
            <w:bottom w:val="none" w:sz="0" w:space="0" w:color="auto"/>
            <w:right w:val="none" w:sz="0" w:space="0" w:color="auto"/>
          </w:divBdr>
        </w:div>
        <w:div w:id="2057121536">
          <w:marLeft w:val="274"/>
          <w:marRight w:val="0"/>
          <w:marTop w:val="0"/>
          <w:marBottom w:val="0"/>
          <w:divBdr>
            <w:top w:val="none" w:sz="0" w:space="0" w:color="auto"/>
            <w:left w:val="none" w:sz="0" w:space="0" w:color="auto"/>
            <w:bottom w:val="none" w:sz="0" w:space="0" w:color="auto"/>
            <w:right w:val="none" w:sz="0" w:space="0" w:color="auto"/>
          </w:divBdr>
        </w:div>
      </w:divsChild>
    </w:div>
    <w:div w:id="1088309334">
      <w:bodyDiv w:val="1"/>
      <w:marLeft w:val="0"/>
      <w:marRight w:val="0"/>
      <w:marTop w:val="0"/>
      <w:marBottom w:val="0"/>
      <w:divBdr>
        <w:top w:val="none" w:sz="0" w:space="0" w:color="auto"/>
        <w:left w:val="none" w:sz="0" w:space="0" w:color="auto"/>
        <w:bottom w:val="none" w:sz="0" w:space="0" w:color="auto"/>
        <w:right w:val="none" w:sz="0" w:space="0" w:color="auto"/>
      </w:divBdr>
    </w:div>
    <w:div w:id="1125269804">
      <w:bodyDiv w:val="1"/>
      <w:marLeft w:val="0"/>
      <w:marRight w:val="0"/>
      <w:marTop w:val="0"/>
      <w:marBottom w:val="0"/>
      <w:divBdr>
        <w:top w:val="none" w:sz="0" w:space="0" w:color="auto"/>
        <w:left w:val="none" w:sz="0" w:space="0" w:color="auto"/>
        <w:bottom w:val="none" w:sz="0" w:space="0" w:color="auto"/>
        <w:right w:val="none" w:sz="0" w:space="0" w:color="auto"/>
      </w:divBdr>
    </w:div>
    <w:div w:id="1178428900">
      <w:bodyDiv w:val="1"/>
      <w:marLeft w:val="0"/>
      <w:marRight w:val="0"/>
      <w:marTop w:val="0"/>
      <w:marBottom w:val="0"/>
      <w:divBdr>
        <w:top w:val="none" w:sz="0" w:space="0" w:color="auto"/>
        <w:left w:val="none" w:sz="0" w:space="0" w:color="auto"/>
        <w:bottom w:val="none" w:sz="0" w:space="0" w:color="auto"/>
        <w:right w:val="none" w:sz="0" w:space="0" w:color="auto"/>
      </w:divBdr>
    </w:div>
    <w:div w:id="1484009117">
      <w:bodyDiv w:val="1"/>
      <w:marLeft w:val="0"/>
      <w:marRight w:val="0"/>
      <w:marTop w:val="0"/>
      <w:marBottom w:val="0"/>
      <w:divBdr>
        <w:top w:val="none" w:sz="0" w:space="0" w:color="auto"/>
        <w:left w:val="none" w:sz="0" w:space="0" w:color="auto"/>
        <w:bottom w:val="none" w:sz="0" w:space="0" w:color="auto"/>
        <w:right w:val="none" w:sz="0" w:space="0" w:color="auto"/>
      </w:divBdr>
    </w:div>
    <w:div w:id="1486237117">
      <w:bodyDiv w:val="1"/>
      <w:marLeft w:val="0"/>
      <w:marRight w:val="0"/>
      <w:marTop w:val="0"/>
      <w:marBottom w:val="0"/>
      <w:divBdr>
        <w:top w:val="none" w:sz="0" w:space="0" w:color="auto"/>
        <w:left w:val="none" w:sz="0" w:space="0" w:color="auto"/>
        <w:bottom w:val="none" w:sz="0" w:space="0" w:color="auto"/>
        <w:right w:val="none" w:sz="0" w:space="0" w:color="auto"/>
      </w:divBdr>
    </w:div>
    <w:div w:id="1673409846">
      <w:bodyDiv w:val="1"/>
      <w:marLeft w:val="0"/>
      <w:marRight w:val="0"/>
      <w:marTop w:val="0"/>
      <w:marBottom w:val="0"/>
      <w:divBdr>
        <w:top w:val="none" w:sz="0" w:space="0" w:color="auto"/>
        <w:left w:val="none" w:sz="0" w:space="0" w:color="auto"/>
        <w:bottom w:val="none" w:sz="0" w:space="0" w:color="auto"/>
        <w:right w:val="none" w:sz="0" w:space="0" w:color="auto"/>
      </w:divBdr>
    </w:div>
    <w:div w:id="1717655302">
      <w:bodyDiv w:val="1"/>
      <w:marLeft w:val="0"/>
      <w:marRight w:val="0"/>
      <w:marTop w:val="0"/>
      <w:marBottom w:val="0"/>
      <w:divBdr>
        <w:top w:val="none" w:sz="0" w:space="0" w:color="auto"/>
        <w:left w:val="none" w:sz="0" w:space="0" w:color="auto"/>
        <w:bottom w:val="none" w:sz="0" w:space="0" w:color="auto"/>
        <w:right w:val="none" w:sz="0" w:space="0" w:color="auto"/>
      </w:divBdr>
    </w:div>
    <w:div w:id="1744526054">
      <w:bodyDiv w:val="1"/>
      <w:marLeft w:val="0"/>
      <w:marRight w:val="0"/>
      <w:marTop w:val="0"/>
      <w:marBottom w:val="0"/>
      <w:divBdr>
        <w:top w:val="none" w:sz="0" w:space="0" w:color="auto"/>
        <w:left w:val="none" w:sz="0" w:space="0" w:color="auto"/>
        <w:bottom w:val="none" w:sz="0" w:space="0" w:color="auto"/>
        <w:right w:val="none" w:sz="0" w:space="0" w:color="auto"/>
      </w:divBdr>
    </w:div>
    <w:div w:id="1748575384">
      <w:bodyDiv w:val="1"/>
      <w:marLeft w:val="0"/>
      <w:marRight w:val="0"/>
      <w:marTop w:val="0"/>
      <w:marBottom w:val="0"/>
      <w:divBdr>
        <w:top w:val="none" w:sz="0" w:space="0" w:color="auto"/>
        <w:left w:val="none" w:sz="0" w:space="0" w:color="auto"/>
        <w:bottom w:val="none" w:sz="0" w:space="0" w:color="auto"/>
        <w:right w:val="none" w:sz="0" w:space="0" w:color="auto"/>
      </w:divBdr>
    </w:div>
    <w:div w:id="1859468257">
      <w:bodyDiv w:val="1"/>
      <w:marLeft w:val="0"/>
      <w:marRight w:val="0"/>
      <w:marTop w:val="0"/>
      <w:marBottom w:val="0"/>
      <w:divBdr>
        <w:top w:val="none" w:sz="0" w:space="0" w:color="auto"/>
        <w:left w:val="none" w:sz="0" w:space="0" w:color="auto"/>
        <w:bottom w:val="none" w:sz="0" w:space="0" w:color="auto"/>
        <w:right w:val="none" w:sz="0" w:space="0" w:color="auto"/>
      </w:divBdr>
    </w:div>
    <w:div w:id="1886943411">
      <w:bodyDiv w:val="1"/>
      <w:marLeft w:val="0"/>
      <w:marRight w:val="0"/>
      <w:marTop w:val="0"/>
      <w:marBottom w:val="0"/>
      <w:divBdr>
        <w:top w:val="none" w:sz="0" w:space="0" w:color="auto"/>
        <w:left w:val="none" w:sz="0" w:space="0" w:color="auto"/>
        <w:bottom w:val="none" w:sz="0" w:space="0" w:color="auto"/>
        <w:right w:val="none" w:sz="0" w:space="0" w:color="auto"/>
      </w:divBdr>
    </w:div>
    <w:div w:id="20543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ana.sarmiento</dc:creator>
  <cp:lastModifiedBy>Cruz Octavio Burciaga Romero</cp:lastModifiedBy>
  <cp:revision>2</cp:revision>
  <cp:lastPrinted>2019-10-24T20:27:00Z</cp:lastPrinted>
  <dcterms:created xsi:type="dcterms:W3CDTF">2019-11-20T18:42:00Z</dcterms:created>
  <dcterms:modified xsi:type="dcterms:W3CDTF">2019-11-20T18:42:00Z</dcterms:modified>
</cp:coreProperties>
</file>