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A2FA2" w:rsidRDefault="00DA3F0D" w:rsidP="00DA3F0D">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3F0D" w:rsidRPr="007A2FA2" w:rsidRDefault="00DA3F0D" w:rsidP="00DA3F0D">
      <w:pPr>
        <w:jc w:val="right"/>
        <w:rPr>
          <w:rFonts w:ascii="Lato" w:hAnsi="Lato" w:cs="Arial"/>
          <w:b/>
          <w:sz w:val="26"/>
          <w:szCs w:val="26"/>
        </w:rPr>
      </w:pPr>
    </w:p>
    <w:p w:rsidR="00DA3F0D" w:rsidRPr="00DA3F0D" w:rsidRDefault="00DA3F0D" w:rsidP="00DA3F0D">
      <w:pPr>
        <w:jc w:val="right"/>
        <w:rPr>
          <w:rFonts w:ascii="Lato" w:hAnsi="Lato" w:cs="Arial"/>
          <w:b/>
          <w:szCs w:val="26"/>
        </w:rPr>
      </w:pPr>
      <w:r w:rsidRPr="00DA3F0D">
        <w:rPr>
          <w:rFonts w:ascii="Lato" w:hAnsi="Lato" w:cs="Arial"/>
          <w:b/>
          <w:szCs w:val="26"/>
        </w:rPr>
        <w:t>ACTA RELATIVA A LA SESIÓN EXTRAORDINARIA 10/18</w:t>
      </w:r>
    </w:p>
    <w:p w:rsidR="00DF76A5" w:rsidRPr="007857F9" w:rsidRDefault="00DF76A5" w:rsidP="00DF76A5">
      <w:pPr>
        <w:jc w:val="center"/>
        <w:rPr>
          <w:rFonts w:asciiTheme="minorHAnsi" w:hAnsiTheme="minorHAnsi"/>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Mexicali, Baja California, siendo las diez horas del día ocho de marzo de dos mil dieciocho, se reunieron en la sala de sesiones del Consejo de la Judicatura del Estado, los integrantes del Comité para la Transparencia, Acceso a la Información Pública y Protección de Datos Personales, Magistrado Presidente del Tribunal Superior de Justicia y del Consejo de la Judicatura, Maestro Salvador Juan Ortiz Morales, </w:t>
      </w:r>
      <w:r>
        <w:rPr>
          <w:rFonts w:ascii="Lato" w:hAnsi="Lato" w:cs="Arial"/>
          <w:sz w:val="28"/>
          <w:szCs w:val="28"/>
        </w:rPr>
        <w:t xml:space="preserve">la </w:t>
      </w:r>
      <w:r w:rsidRPr="00B5548B">
        <w:rPr>
          <w:rFonts w:ascii="Lato" w:hAnsi="Lato" w:cs="Arial"/>
          <w:sz w:val="28"/>
          <w:szCs w:val="28"/>
        </w:rPr>
        <w:t>Consejera President</w:t>
      </w:r>
      <w:r>
        <w:rPr>
          <w:rFonts w:ascii="Lato" w:hAnsi="Lato" w:cs="Arial"/>
          <w:sz w:val="28"/>
          <w:szCs w:val="28"/>
        </w:rPr>
        <w:t>a</w:t>
      </w:r>
      <w:r w:rsidRPr="00B5548B">
        <w:rPr>
          <w:rFonts w:ascii="Lato" w:hAnsi="Lato" w:cs="Arial"/>
          <w:sz w:val="28"/>
          <w:szCs w:val="28"/>
        </w:rPr>
        <w:t xml:space="preserve"> de la Comisión de Vigilancia y Disciplina del Consejo de la Judicatura, Magistrada Columba Imelda Amador Guillén, el Magistrado Félix Herrera Esquivel, 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celebrar la sesión extraordinaria 10/2018.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La Secretaria del Comité da cuenta con el quórum de asistencia al Presidente, quien declara su existencia, por lo cual se inicia esta sesión. Acto continuo, sometió a sus integrantes el orden del día en los siguientes términos:</w:t>
      </w:r>
    </w:p>
    <w:p w:rsidR="00DA3F0D" w:rsidRPr="00B5548B" w:rsidRDefault="00DA3F0D" w:rsidP="00DA3F0D">
      <w:pPr>
        <w:spacing w:line="360" w:lineRule="auto"/>
        <w:jc w:val="center"/>
        <w:rPr>
          <w:rFonts w:ascii="Lato" w:hAnsi="Lato" w:cs="Arial"/>
          <w:b/>
          <w:sz w:val="28"/>
          <w:szCs w:val="28"/>
        </w:rPr>
      </w:pPr>
      <w:r w:rsidRPr="00B5548B">
        <w:rPr>
          <w:rFonts w:ascii="Lato" w:hAnsi="Lato" w:cs="Arial"/>
          <w:b/>
          <w:sz w:val="28"/>
          <w:szCs w:val="28"/>
        </w:rPr>
        <w:t>ORDEN DEL DÍA</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Aprobación del orden del día.</w:t>
      </w:r>
    </w:p>
    <w:p w:rsidR="00DA3F0D" w:rsidRPr="00B5548B" w:rsidRDefault="00DA3F0D" w:rsidP="00DA3F0D">
      <w:pPr>
        <w:pStyle w:val="Prrafodelista"/>
        <w:spacing w:after="0" w:line="360" w:lineRule="auto"/>
        <w:ind w:left="1080"/>
        <w:rPr>
          <w:rFonts w:ascii="Lato" w:hAnsi="Lato" w:cs="Arial"/>
          <w:sz w:val="28"/>
          <w:szCs w:val="28"/>
        </w:rPr>
      </w:pPr>
      <w:r w:rsidRPr="00B5548B">
        <w:rPr>
          <w:rFonts w:ascii="Lato" w:hAnsi="Lato" w:cs="Arial"/>
          <w:sz w:val="28"/>
          <w:szCs w:val="28"/>
        </w:rPr>
        <w:t>Por unanimidad se aprobó en sus términos.</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Asuntos a tratar:</w:t>
      </w: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lastRenderedPageBreak/>
        <w:t xml:space="preserve">ÚNICO. Procedimiento de clasificación de la información y elaboración de versiones públicas 05/2018, </w:t>
      </w:r>
      <w:r w:rsidRPr="00B5548B">
        <w:rPr>
          <w:rFonts w:ascii="Lato" w:hAnsi="Lato" w:cs="Arial"/>
          <w:sz w:val="28"/>
          <w:szCs w:val="28"/>
        </w:rPr>
        <w:t xml:space="preserve">derivado de la solicitud de información realizada mediante el Sistema de Solicitudes Electrónicas del Poder Judicial, registrada con </w:t>
      </w:r>
      <w:r>
        <w:rPr>
          <w:rFonts w:ascii="Lato" w:hAnsi="Lato" w:cs="Arial"/>
          <w:sz w:val="28"/>
          <w:szCs w:val="28"/>
        </w:rPr>
        <w:t>e</w:t>
      </w:r>
      <w:r w:rsidRPr="00B5548B">
        <w:rPr>
          <w:rFonts w:ascii="Lato" w:hAnsi="Lato" w:cs="Arial"/>
          <w:sz w:val="28"/>
          <w:szCs w:val="28"/>
        </w:rPr>
        <w:t xml:space="preserve">l folio número 0007/18, en fecha seis de enero de dos mil dieciocho. </w:t>
      </w:r>
    </w:p>
    <w:p w:rsidR="00DA3F0D" w:rsidRPr="00B5548B" w:rsidRDefault="00DA3F0D"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b/>
          <w:sz w:val="28"/>
          <w:szCs w:val="28"/>
        </w:rPr>
        <w:t>Visto el proyecto de resolución</w:t>
      </w:r>
      <w:r w:rsidRPr="00B5548B">
        <w:rPr>
          <w:rFonts w:ascii="Lato" w:hAnsi="Lato" w:cs="Arial"/>
          <w:sz w:val="28"/>
          <w:szCs w:val="28"/>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B5548B">
        <w:rPr>
          <w:rFonts w:ascii="Lato" w:hAnsi="Lato" w:cs="Arial"/>
          <w:b/>
          <w:sz w:val="28"/>
          <w:szCs w:val="28"/>
        </w:rPr>
        <w:t xml:space="preserve">se aprobó por unanimidad de votos </w:t>
      </w:r>
      <w:r w:rsidRPr="00B5548B">
        <w:rPr>
          <w:rFonts w:ascii="Lato" w:hAnsi="Lato" w:cs="Arial"/>
          <w:sz w:val="28"/>
          <w:szCs w:val="28"/>
        </w:rPr>
        <w:t xml:space="preserve">por sus propios y legales fundamentos, </w:t>
      </w:r>
      <w:r w:rsidRPr="00B5548B">
        <w:rPr>
          <w:rFonts w:ascii="Lato" w:hAnsi="Lato" w:cs="Arial"/>
          <w:b/>
          <w:sz w:val="28"/>
          <w:szCs w:val="28"/>
        </w:rPr>
        <w:t xml:space="preserve">autorizando la clasificación de la información de carácter confidencial, </w:t>
      </w:r>
      <w:r w:rsidRPr="00B5548B">
        <w:rPr>
          <w:rFonts w:ascii="Lato" w:hAnsi="Lato" w:cs="Arial"/>
          <w:sz w:val="28"/>
          <w:szCs w:val="28"/>
        </w:rPr>
        <w:t xml:space="preserve">realizada por la Jueza Provisional del Juzgado Primero Familiar del Partido Judicial de Mexicali, </w:t>
      </w:r>
      <w:r w:rsidRPr="00B5548B">
        <w:rPr>
          <w:rFonts w:ascii="Lato" w:hAnsi="Lato" w:cs="Arial"/>
          <w:b/>
          <w:sz w:val="28"/>
          <w:szCs w:val="28"/>
        </w:rPr>
        <w:t>autorizando la versión pública</w:t>
      </w:r>
      <w:r w:rsidRPr="00B5548B">
        <w:rPr>
          <w:rFonts w:ascii="Lato" w:hAnsi="Lato" w:cs="Arial"/>
          <w:sz w:val="28"/>
          <w:szCs w:val="28"/>
        </w:rPr>
        <w:t xml:space="preserve"> de la sentencia dictada dentro del expediente número 1617/2016, requerido por el peticionario,</w:t>
      </w:r>
      <w:r w:rsidRPr="00B5548B">
        <w:rPr>
          <w:rFonts w:ascii="Lato" w:hAnsi="Lato" w:cs="Arial"/>
          <w:b/>
          <w:sz w:val="28"/>
          <w:szCs w:val="28"/>
        </w:rPr>
        <w:t xml:space="preserve"> </w:t>
      </w:r>
      <w:r w:rsidRPr="00B5548B">
        <w:rPr>
          <w:rFonts w:ascii="Lato" w:hAnsi="Lato" w:cs="Arial"/>
          <w:sz w:val="28"/>
          <w:szCs w:val="28"/>
        </w:rPr>
        <w:t xml:space="preserve">CONSIDERANDO QUE: </w:t>
      </w:r>
    </w:p>
    <w:p w:rsidR="00DA3F0D" w:rsidRPr="00B5548B" w:rsidRDefault="00DA3F0D"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A) Mediante la solicitud de referencia se pide </w:t>
      </w:r>
      <w:r w:rsidRPr="00B5548B">
        <w:rPr>
          <w:rFonts w:ascii="Lato" w:hAnsi="Lato" w:cs="Arial"/>
          <w:i/>
          <w:sz w:val="28"/>
          <w:szCs w:val="28"/>
        </w:rPr>
        <w:t>“la versión pública de un expediente concluido que trate sobre divorcio sin expresión de causa, específicamente uno en el cual, desde el escrito de demanda se haya hecho valer el derecho humano al libre desarrollo de la personalidad; sin que se haya aludido a alguna de las causales de divorcio señaladas en el artículo 264 del Código Civil vigente en el estado, y por supuesto que no sea un divorcio voluntario</w:t>
      </w: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B) Previo al pago del costo de reproducción realizado por el peticionario, mediante oficio número 0826/2018, de fecha de recibido 07 de marzo del año en curso, la autoridad mencionada remite una versión pública de la sentencia emitida en un juicio de las características requeridas por el peticionario, en la cual se suprimieron los datos personales que se clasificaron como confidenciales, cubriendo el espacio correspondiente mediante la utilización de una línea negra.</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u w:val="single"/>
        </w:rPr>
      </w:pPr>
      <w:r w:rsidRPr="00B5548B">
        <w:rPr>
          <w:rFonts w:ascii="Lato" w:hAnsi="Lato" w:cs="Arial"/>
          <w:sz w:val="28"/>
          <w:szCs w:val="28"/>
        </w:rPr>
        <w:t xml:space="preserve">C) </w:t>
      </w:r>
      <w:r w:rsidRPr="00B5548B">
        <w:rPr>
          <w:rFonts w:ascii="Lato" w:hAnsi="Lato" w:cs="Arial"/>
          <w:b/>
          <w:sz w:val="28"/>
          <w:szCs w:val="28"/>
        </w:rPr>
        <w:t xml:space="preserve">Recibida la versión pública </w:t>
      </w:r>
      <w:r w:rsidRPr="00B5548B">
        <w:rPr>
          <w:rFonts w:ascii="Lato" w:hAnsi="Lato" w:cs="Arial"/>
          <w:sz w:val="28"/>
          <w:szCs w:val="28"/>
        </w:rPr>
        <w:t>de la sentencia de referencia,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al artículo 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aplicando la prueba de daño</w:t>
      </w:r>
      <w:r w:rsidRPr="00B5548B">
        <w:rPr>
          <w:rFonts w:ascii="Lato" w:hAnsi="Lato" w:cs="Arial"/>
          <w:b/>
          <w:sz w:val="28"/>
          <w:szCs w:val="28"/>
        </w:rPr>
        <w:t xml:space="preserve"> </w:t>
      </w:r>
      <w:r w:rsidRPr="00B5548B">
        <w:rPr>
          <w:rFonts w:ascii="Lato" w:hAnsi="Lato" w:cs="Arial"/>
          <w:sz w:val="28"/>
          <w:szCs w:val="28"/>
        </w:rPr>
        <w:t>a que se refiere el artículo 109 de la Ley local de transparencia y acceso a la información pública, lo que se hizo, tomando en cuenta que:</w:t>
      </w:r>
      <w:r w:rsidRPr="00B5548B">
        <w:rPr>
          <w:rFonts w:ascii="Lato" w:hAnsi="Lato" w:cs="Arial"/>
          <w:sz w:val="28"/>
          <w:szCs w:val="28"/>
          <w:u w:val="single"/>
        </w:rPr>
        <w:t xml:space="preserve">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1)</w:t>
      </w:r>
      <w:r w:rsidRPr="00B5548B">
        <w:rPr>
          <w:rFonts w:ascii="Lato" w:hAnsi="Lato" w:cs="Arial"/>
          <w:b/>
          <w:sz w:val="28"/>
          <w:szCs w:val="28"/>
        </w:rPr>
        <w:t xml:space="preserve"> De la versión pública elaborada. </w:t>
      </w:r>
      <w:r w:rsidRPr="00B5548B">
        <w:rPr>
          <w:rFonts w:ascii="Lato" w:hAnsi="Lato" w:cs="Arial"/>
          <w:sz w:val="28"/>
          <w:szCs w:val="28"/>
        </w:rPr>
        <w:t xml:space="preserve">En principio, toda información generada, administrada, adquirida o en posesión de Poder Judicial, por virtud del ejercicio de sus competencias, funciones y atribuciones, es pública, con las salvedades establecidas en la propia Ley. </w:t>
      </w:r>
      <w:r w:rsidRPr="00B5548B">
        <w:rPr>
          <w:rFonts w:ascii="Lato" w:hAnsi="Lato" w:cs="Arial"/>
          <w:b/>
          <w:sz w:val="28"/>
          <w:szCs w:val="28"/>
        </w:rPr>
        <w:t xml:space="preserve">La versión pública de documentos y resoluciones, permite la consulta de todo interesado en la actuación de </w:t>
      </w:r>
      <w:r w:rsidRPr="00B5548B">
        <w:rPr>
          <w:rFonts w:ascii="Lato" w:hAnsi="Lato" w:cs="Arial"/>
          <w:b/>
          <w:sz w:val="28"/>
          <w:szCs w:val="28"/>
        </w:rPr>
        <w:lastRenderedPageBreak/>
        <w:t xml:space="preserve">los órganos jurisdiccionales y administrativos del Poder Judicial, </w:t>
      </w:r>
      <w:r w:rsidRPr="00B5548B">
        <w:rPr>
          <w:rFonts w:ascii="Lato" w:hAnsi="Lato" w:cs="Arial"/>
          <w:sz w:val="28"/>
          <w:szCs w:val="28"/>
        </w:rPr>
        <w:t xml:space="preserve">pues se elaboran suprimiendo la información considerada confidencial o reservada, lo que requiere como acto conjunto a su elaboración, emitir un criterio que la clasifique, como restringida al público.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Por otro lado, el artículo 139 de la Ley estatal multicitada, dispone que: “</w:t>
      </w:r>
      <w:r w:rsidRPr="00B5548B">
        <w:rPr>
          <w:rFonts w:ascii="Lato" w:hAnsi="Lato" w:cs="Arial"/>
          <w:i/>
          <w:sz w:val="28"/>
          <w:szCs w:val="28"/>
        </w:rPr>
        <w:t xml:space="preserve">En caso de que la clasificación se hiciere con motivo de la recepción de una solicitud de acceso a la información, </w:t>
      </w:r>
      <w:r w:rsidRPr="00B5548B">
        <w:rPr>
          <w:rFonts w:ascii="Lato" w:hAnsi="Lato" w:cs="Arial"/>
          <w:b/>
          <w:i/>
          <w:sz w:val="28"/>
          <w:szCs w:val="28"/>
        </w:rPr>
        <w:t>se deberán exponer los motivos que la justifiquen y aplicar una prueba de daño</w:t>
      </w:r>
      <w:r w:rsidRPr="00B5548B">
        <w:rPr>
          <w:rFonts w:ascii="Lato" w:hAnsi="Lato" w:cs="Arial"/>
          <w:i/>
          <w:sz w:val="28"/>
          <w:szCs w:val="28"/>
        </w:rPr>
        <w:t xml:space="preserve"> (…)”, e</w:t>
      </w:r>
      <w:r w:rsidRPr="00B5548B">
        <w:rPr>
          <w:rFonts w:ascii="Lato" w:hAnsi="Lato" w:cs="Arial"/>
          <w:sz w:val="28"/>
          <w:szCs w:val="28"/>
        </w:rPr>
        <w:t xml:space="preserve">sto implica precisar la normatividad que expresamente le otorga el carácter de confidencial a la información omitida y determinar,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2) </w:t>
      </w:r>
      <w:r w:rsidRPr="00B5548B">
        <w:rPr>
          <w:rFonts w:ascii="Lato" w:hAnsi="Lato" w:cs="Arial"/>
          <w:b/>
          <w:sz w:val="28"/>
          <w:szCs w:val="28"/>
        </w:rPr>
        <w:t>Del acto de clasificación de la información.</w:t>
      </w:r>
      <w:r w:rsidRPr="00B5548B">
        <w:rPr>
          <w:rFonts w:ascii="Lato" w:hAnsi="Lato" w:cs="Arial"/>
          <w:sz w:val="28"/>
          <w:szCs w:val="28"/>
        </w:rPr>
        <w:t xml:space="preserve"> Al respecto, el artículo 106 de la Ley en cita, indica que la clasificación es un proceso mediante el cual el sujeto obligado determina, que la información en su poder encuadra en alguno de los supuestos de reserva o confidencialidad.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el caso concreto, para efectos del acto de clasificación,</w:t>
      </w:r>
      <w:r w:rsidRPr="00B5548B">
        <w:rPr>
          <w:rFonts w:ascii="Lato" w:hAnsi="Lato" w:cs="Arial"/>
          <w:b/>
          <w:sz w:val="28"/>
          <w:szCs w:val="28"/>
        </w:rPr>
        <w:t xml:space="preserve"> encontramos como elementos objetivos,</w:t>
      </w:r>
      <w:r w:rsidRPr="00B5548B">
        <w:rPr>
          <w:rFonts w:ascii="Lato" w:hAnsi="Lato" w:cs="Arial"/>
          <w:sz w:val="28"/>
          <w:szCs w:val="28"/>
        </w:rPr>
        <w:t xml:space="preserve"> los siguientes:</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2.1) </w:t>
      </w:r>
      <w:r w:rsidRPr="00B5548B">
        <w:rPr>
          <w:rFonts w:ascii="Lato" w:hAnsi="Lato" w:cs="Arial"/>
          <w:b/>
          <w:sz w:val="28"/>
          <w:szCs w:val="28"/>
        </w:rPr>
        <w:t>La versión pública de mérito, fue elaborada en observancia al marco normativo que rige en la materia</w:t>
      </w:r>
      <w:r w:rsidRPr="00B5548B">
        <w:rPr>
          <w:rFonts w:ascii="Lato" w:hAnsi="Lato" w:cs="Arial"/>
          <w:sz w:val="28"/>
          <w:szCs w:val="28"/>
        </w:rPr>
        <w:t xml:space="preserve">, esto es, a lo establecido en los artículos 116 de la Ley General de Transparencia y Acceso a la Información Pública; </w:t>
      </w:r>
      <w:r w:rsidRPr="00B5548B">
        <w:rPr>
          <w:rFonts w:ascii="Lato" w:hAnsi="Lato" w:cs="Arial"/>
          <w:sz w:val="28"/>
          <w:szCs w:val="28"/>
        </w:rPr>
        <w:lastRenderedPageBreak/>
        <w:t>4, fracciones VI, XII, XV, 106, 107, 109 y demás relativos de la Ley de Transparencia y Acceso a la Información Pública para el Estado de Baja California; 4 fracciones III, VI, IX, 10 fracciones IX y XVIII, 55, 73, 77, 79, 82, 87, y relativos del Reglamento para la Transparencia y el Acceso a la Información Pública del Poder Judicial del Estado de Baja California.</w:t>
      </w:r>
    </w:p>
    <w:p w:rsidR="00DA3F0D" w:rsidRPr="00B5548B" w:rsidRDefault="00DA3F0D" w:rsidP="00DA3F0D">
      <w:pPr>
        <w:spacing w:line="360" w:lineRule="auto"/>
        <w:ind w:firstLine="567"/>
        <w:jc w:val="both"/>
        <w:rPr>
          <w:rFonts w:ascii="Lato" w:hAnsi="Lato" w:cs="Arial"/>
          <w:sz w:val="20"/>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2.2)</w:t>
      </w:r>
      <w:r w:rsidRPr="00B5548B">
        <w:rPr>
          <w:rFonts w:ascii="Lato" w:hAnsi="Lato" w:cs="Arial"/>
          <w:b/>
          <w:sz w:val="28"/>
          <w:szCs w:val="28"/>
        </w:rPr>
        <w:t xml:space="preserve"> </w:t>
      </w:r>
      <w:r w:rsidRPr="00B5548B">
        <w:rPr>
          <w:rFonts w:ascii="Lato" w:hAnsi="Lato" w:cs="Arial"/>
          <w:sz w:val="28"/>
          <w:szCs w:val="28"/>
        </w:rPr>
        <w:t xml:space="preserve">De los propios documentos en estudio, se desprende que </w:t>
      </w:r>
      <w:r w:rsidRPr="00B5548B">
        <w:rPr>
          <w:rFonts w:ascii="Lato" w:hAnsi="Lato" w:cs="Arial"/>
          <w:b/>
          <w:sz w:val="28"/>
          <w:szCs w:val="28"/>
        </w:rPr>
        <w:t xml:space="preserve">no existe consentimiento expreso de titulares de los datos personales suprimidos; </w:t>
      </w:r>
      <w:r w:rsidRPr="00B5548B">
        <w:rPr>
          <w:rFonts w:ascii="Lato" w:hAnsi="Lato" w:cs="Arial"/>
          <w:sz w:val="28"/>
          <w:szCs w:val="28"/>
        </w:rPr>
        <w:t>esto es, de los</w:t>
      </w:r>
      <w:r w:rsidRPr="00B5548B">
        <w:rPr>
          <w:rFonts w:ascii="Lato" w:hAnsi="Lato" w:cs="Arial"/>
          <w:b/>
          <w:sz w:val="28"/>
          <w:szCs w:val="28"/>
        </w:rPr>
        <w:t xml:space="preserve"> sujetos particulares </w:t>
      </w:r>
      <w:r w:rsidRPr="00B5548B">
        <w:rPr>
          <w:rFonts w:ascii="Lato" w:hAnsi="Lato" w:cs="Arial"/>
          <w:sz w:val="28"/>
          <w:szCs w:val="28"/>
        </w:rPr>
        <w:t xml:space="preserve">que intervienen en el proceso del cual se deriva la versión publica elaborada, lo que resulta necesario </w:t>
      </w:r>
      <w:r w:rsidRPr="00B5548B">
        <w:rPr>
          <w:rFonts w:ascii="Lato" w:hAnsi="Lato" w:cs="Arial"/>
          <w:b/>
          <w:sz w:val="28"/>
          <w:szCs w:val="28"/>
        </w:rPr>
        <w:t>para</w:t>
      </w:r>
      <w:r w:rsidRPr="00B5548B">
        <w:rPr>
          <w:rFonts w:ascii="Lato" w:hAnsi="Lato" w:cs="Arial"/>
          <w:sz w:val="28"/>
          <w:szCs w:val="28"/>
        </w:rPr>
        <w:t xml:space="preserve"> </w:t>
      </w:r>
      <w:r w:rsidRPr="00B5548B">
        <w:rPr>
          <w:rFonts w:ascii="Lato" w:hAnsi="Lato" w:cs="Arial"/>
          <w:b/>
          <w:sz w:val="28"/>
          <w:szCs w:val="28"/>
        </w:rPr>
        <w:t>que éstos puedan ser comunicados a terceros</w:t>
      </w:r>
      <w:r w:rsidRPr="00B5548B">
        <w:rPr>
          <w:rFonts w:ascii="Lato" w:hAnsi="Lato" w:cs="Arial"/>
          <w:sz w:val="28"/>
          <w:szCs w:val="28"/>
        </w:rPr>
        <w:t xml:space="preserve">, como se exige en el diverso numeral 140 del Reglamento de la Ley local de la materia.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2.3)</w:t>
      </w:r>
      <w:r w:rsidRPr="00B5548B">
        <w:rPr>
          <w:rFonts w:ascii="Lato" w:hAnsi="Lato" w:cs="Arial"/>
          <w:b/>
          <w:sz w:val="28"/>
          <w:szCs w:val="28"/>
        </w:rPr>
        <w:t xml:space="preserve"> </w:t>
      </w:r>
      <w:r w:rsidRPr="00B5548B">
        <w:rPr>
          <w:rFonts w:ascii="Lato" w:hAnsi="Lato" w:cs="Arial"/>
          <w:sz w:val="28"/>
          <w:szCs w:val="28"/>
        </w:rPr>
        <w:t>En virtud de lo anterior y</w:t>
      </w:r>
      <w:r w:rsidRPr="00B5548B">
        <w:rPr>
          <w:rFonts w:ascii="Lato" w:hAnsi="Lato" w:cs="Arial"/>
          <w:b/>
          <w:sz w:val="28"/>
          <w:szCs w:val="28"/>
        </w:rPr>
        <w:t xml:space="preserve"> como consecuencia de la aplicación de la normativa reseñada, en la elaboración de la versión pública de mérito, se suprimió toda información de carácter confidencial </w:t>
      </w:r>
      <w:r w:rsidRPr="00B5548B">
        <w:rPr>
          <w:rFonts w:ascii="Lato" w:hAnsi="Lato" w:cs="Arial"/>
          <w:sz w:val="28"/>
          <w:szCs w:val="28"/>
        </w:rPr>
        <w:t xml:space="preserve">de los particulares aludidos, lo cual se justifica, </w:t>
      </w:r>
      <w:r w:rsidRPr="00B5548B">
        <w:rPr>
          <w:rFonts w:ascii="Lato" w:hAnsi="Lato" w:cs="Arial"/>
          <w:b/>
          <w:sz w:val="28"/>
          <w:szCs w:val="28"/>
        </w:rPr>
        <w:t xml:space="preserve">atendiendo la obligación legalmente establecida de proteger y resguardar la información clasificada </w:t>
      </w:r>
      <w:r w:rsidRPr="00B5548B">
        <w:rPr>
          <w:rFonts w:ascii="Lato" w:hAnsi="Lato" w:cs="Arial"/>
          <w:sz w:val="28"/>
          <w:szCs w:val="28"/>
        </w:rPr>
        <w:t xml:space="preserve">como reservada o confidencial, dispuesta por la Ley estatal de la materia, en el artículo 16, fracción VI, </w:t>
      </w:r>
      <w:r w:rsidRPr="00B5548B">
        <w:rPr>
          <w:rFonts w:ascii="Lato" w:hAnsi="Lato" w:cs="Arial"/>
          <w:b/>
          <w:sz w:val="28"/>
          <w:szCs w:val="28"/>
        </w:rPr>
        <w:t xml:space="preserve">considerando </w:t>
      </w:r>
      <w:r w:rsidRPr="00B5548B">
        <w:rPr>
          <w:rFonts w:ascii="Lato" w:hAnsi="Lato" w:cs="Arial"/>
          <w:sz w:val="28"/>
          <w:szCs w:val="28"/>
        </w:rPr>
        <w:t xml:space="preserve">que es innegable, </w:t>
      </w:r>
      <w:r w:rsidRPr="00B5548B">
        <w:rPr>
          <w:rFonts w:ascii="Lato" w:hAnsi="Lato" w:cs="Arial"/>
          <w:b/>
          <w:sz w:val="28"/>
          <w:szCs w:val="28"/>
        </w:rPr>
        <w:t>que</w:t>
      </w:r>
      <w:r w:rsidRPr="00B5548B">
        <w:rPr>
          <w:rFonts w:ascii="Lato" w:hAnsi="Lato" w:cs="Arial"/>
          <w:sz w:val="28"/>
          <w:szCs w:val="28"/>
        </w:rPr>
        <w:t xml:space="preserve"> </w:t>
      </w:r>
      <w:r w:rsidRPr="00B5548B">
        <w:rPr>
          <w:rFonts w:ascii="Lato" w:hAnsi="Lato" w:cs="Arial"/>
          <w:b/>
          <w:sz w:val="28"/>
          <w:szCs w:val="28"/>
        </w:rPr>
        <w:t>la divulgación de los datos suprimidos representan un perjuicio real y significativo para sus titulares y del interés público de tutelar la vida privada y la intimidad de los particulares,</w:t>
      </w:r>
      <w:r w:rsidRPr="00B5548B">
        <w:rPr>
          <w:rFonts w:ascii="Lato" w:hAnsi="Lato" w:cs="Arial"/>
          <w:sz w:val="28"/>
          <w:szCs w:val="28"/>
        </w:rPr>
        <w:t xml:space="preserve"> ya que se trata de información que no es de interés general; es decir, </w:t>
      </w:r>
      <w:r w:rsidRPr="00B5548B">
        <w:rPr>
          <w:rFonts w:ascii="Lato" w:hAnsi="Lato" w:cs="Arial"/>
          <w:b/>
          <w:sz w:val="28"/>
          <w:szCs w:val="28"/>
        </w:rPr>
        <w:t>los datos omitidos se refieren a</w:t>
      </w:r>
      <w:r w:rsidRPr="00B5548B">
        <w:rPr>
          <w:rFonts w:ascii="Lato" w:hAnsi="Lato" w:cs="Arial"/>
          <w:sz w:val="28"/>
          <w:szCs w:val="28"/>
        </w:rPr>
        <w:t xml:space="preserve">: nombres de las partes actora y demandada, abogados patronos, autorizados para oír y recibir notificaciones, domicilios, nombres de los hijos, bien inmueble, firmas, actas </w:t>
      </w:r>
      <w:r w:rsidRPr="00B5548B">
        <w:rPr>
          <w:rFonts w:ascii="Lato" w:hAnsi="Lato" w:cs="Arial"/>
          <w:sz w:val="28"/>
          <w:szCs w:val="28"/>
        </w:rPr>
        <w:lastRenderedPageBreak/>
        <w:t xml:space="preserve">de matrimonio y de nacimiento, huellas dactilares, número de teléfono, fotografías, credencial de elector, entre otros, </w:t>
      </w:r>
      <w:r w:rsidRPr="00B5548B">
        <w:rPr>
          <w:rFonts w:ascii="Lato" w:hAnsi="Lato" w:cs="Arial"/>
          <w:b/>
          <w:sz w:val="28"/>
          <w:szCs w:val="28"/>
        </w:rPr>
        <w:t>información de carácter confidencial, acorde a la Ley</w:t>
      </w:r>
      <w:r w:rsidRPr="00B5548B">
        <w:rPr>
          <w:rFonts w:ascii="Lato" w:hAnsi="Lato" w:cs="Arial"/>
          <w:sz w:val="28"/>
          <w:szCs w:val="28"/>
        </w:rPr>
        <w:t xml:space="preserve"> de Transparencia y Acceso a la Información Pública para el Estado de Baja California, la que en su artículo 4, fracción XII, establece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sz w:val="28"/>
          <w:szCs w:val="28"/>
        </w:rPr>
        <w:t>información confidencial</w:t>
      </w:r>
      <w:r w:rsidRPr="00B5548B">
        <w:rPr>
          <w:rFonts w:ascii="Lato" w:hAnsi="Lato" w:cs="Arial"/>
          <w:sz w:val="28"/>
          <w:szCs w:val="28"/>
        </w:rPr>
        <w:t xml:space="preserve">: </w:t>
      </w:r>
      <w:r w:rsidRPr="00B5548B">
        <w:rPr>
          <w:rFonts w:ascii="Lato" w:hAnsi="Lato" w:cs="Arial"/>
          <w:i/>
          <w:sz w:val="28"/>
          <w:szCs w:val="28"/>
        </w:rPr>
        <w:t xml:space="preserve">La información en posesión de los sujetos obligados que refiera a datos personales;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B5548B">
        <w:rPr>
          <w:rFonts w:ascii="Lato" w:hAnsi="Lato" w:cs="Arial"/>
          <w:sz w:val="28"/>
          <w:szCs w:val="28"/>
        </w:rPr>
        <w:t>lo que se complementa</w:t>
      </w:r>
      <w:r w:rsidRPr="00B5548B">
        <w:rPr>
          <w:rFonts w:ascii="Lato" w:hAnsi="Lato" w:cs="Arial"/>
          <w:b/>
          <w:sz w:val="28"/>
          <w:szCs w:val="28"/>
        </w:rPr>
        <w:t xml:space="preserve"> </w:t>
      </w:r>
      <w:r w:rsidRPr="00B5548B">
        <w:rPr>
          <w:rFonts w:ascii="Lato" w:hAnsi="Lato" w:cs="Arial"/>
          <w:sz w:val="28"/>
          <w:szCs w:val="28"/>
        </w:rPr>
        <w:t>con lo dispuesto en el precepto normativo 136, del Reglamento de la Ley de Transparencia y Acceso a la Información Pública para el Estado de Baja California, que a la letra reza: “</w:t>
      </w:r>
      <w:r w:rsidRPr="00B5548B">
        <w:rPr>
          <w:rFonts w:ascii="Lato" w:hAnsi="Lato" w:cs="Arial"/>
          <w:b/>
          <w:i/>
          <w:sz w:val="28"/>
          <w:szCs w:val="28"/>
        </w:rPr>
        <w:t>Se consideran datos personales</w:t>
      </w:r>
      <w:r w:rsidRPr="00B5548B">
        <w:rPr>
          <w:rFonts w:ascii="Lato" w:hAnsi="Lato" w:cs="Arial"/>
          <w:i/>
          <w:sz w:val="28"/>
          <w:szCs w:val="28"/>
        </w:rPr>
        <w:t xml:space="preserve">, de manera enunciativa más no limitativa: </w:t>
      </w:r>
      <w:r w:rsidRPr="00B5548B">
        <w:rPr>
          <w:rFonts w:ascii="Lato" w:hAnsi="Lato" w:cs="Arial"/>
          <w:b/>
          <w:i/>
          <w:sz w:val="28"/>
          <w:szCs w:val="28"/>
        </w:rPr>
        <w:t>la información numérica</w:t>
      </w:r>
      <w:r w:rsidRPr="00B5548B">
        <w:rPr>
          <w:rFonts w:ascii="Lato" w:hAnsi="Lato" w:cs="Arial"/>
          <w:i/>
          <w:sz w:val="28"/>
          <w:szCs w:val="28"/>
        </w:rPr>
        <w:t xml:space="preserve">, alfabética, gráfica, fotográfica, acústica o </w:t>
      </w:r>
      <w:r w:rsidRPr="00B5548B">
        <w:rPr>
          <w:rFonts w:ascii="Lato" w:hAnsi="Lato" w:cs="Arial"/>
          <w:b/>
          <w:i/>
          <w:sz w:val="28"/>
          <w:szCs w:val="28"/>
        </w:rPr>
        <w:t>de cualquier otro tipo, concerniente a una persona física o jurídica identificada o identificable, tales como el nombre, número telefónico</w:t>
      </w:r>
      <w:r w:rsidRPr="00B5548B">
        <w:rPr>
          <w:rFonts w:ascii="Lato" w:hAnsi="Lato"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w:t>
      </w:r>
      <w:r w:rsidRPr="00B5548B">
        <w:rPr>
          <w:rFonts w:ascii="Lato" w:hAnsi="Lato" w:cs="Arial"/>
          <w:i/>
          <w:sz w:val="28"/>
          <w:szCs w:val="28"/>
        </w:rPr>
        <w:lastRenderedPageBreak/>
        <w:t xml:space="preserve">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2.4) </w:t>
      </w:r>
      <w:r w:rsidRPr="00B5548B">
        <w:rPr>
          <w:rFonts w:ascii="Lato" w:hAnsi="Lato" w:cs="Arial"/>
          <w:b/>
          <w:sz w:val="28"/>
          <w:szCs w:val="28"/>
        </w:rPr>
        <w:t>De la prueba de daño</w:t>
      </w:r>
      <w:r w:rsidRPr="00B5548B">
        <w:rPr>
          <w:rFonts w:ascii="Lato" w:hAnsi="Lato" w:cs="Arial"/>
          <w:sz w:val="28"/>
          <w:szCs w:val="28"/>
        </w:rPr>
        <w:t>. De</w:t>
      </w:r>
      <w:r w:rsidRPr="00B5548B">
        <w:rPr>
          <w:rFonts w:ascii="Lato" w:hAnsi="Lato" w:cs="Arial"/>
          <w:b/>
          <w:sz w:val="28"/>
          <w:szCs w:val="28"/>
        </w:rPr>
        <w:t xml:space="preserve"> </w:t>
      </w:r>
      <w:r w:rsidRPr="00B5548B">
        <w:rPr>
          <w:rFonts w:ascii="Lato" w:hAnsi="Lato" w:cs="Arial"/>
          <w:sz w:val="28"/>
          <w:szCs w:val="28"/>
        </w:rPr>
        <w:t xml:space="preserve">los diversos numerales 121 y 139 del Reglamento de la Ley estatal de la materia, se desprende que en caso de que la clasificación se hiciere con motivo de la recepción de una solicitud de acceso a la información, se deberán exponer los motivos que la justifiquen y aplicar una prueba de daño, de conformidad con lo dispuesto en la citada Ley estatal, en la Ley General de Transparencia, el Reglamento de la Ley local y los Lineamientos emitidos por el Sistema Nacional de Transparencia y demás disposiciones aplicables, </w:t>
      </w:r>
      <w:r w:rsidRPr="00B5548B">
        <w:rPr>
          <w:rFonts w:ascii="Lato" w:hAnsi="Lato" w:cs="Arial"/>
          <w:b/>
          <w:sz w:val="28"/>
          <w:szCs w:val="28"/>
        </w:rPr>
        <w:t>por lo que resulta pertinente citar</w:t>
      </w:r>
      <w:r w:rsidRPr="00B5548B">
        <w:rPr>
          <w:rFonts w:ascii="Lato" w:hAnsi="Lato" w:cs="Arial"/>
          <w:sz w:val="28"/>
          <w:szCs w:val="28"/>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i/>
          <w:sz w:val="28"/>
          <w:szCs w:val="28"/>
        </w:rPr>
        <w:t>Prueba de Daño</w:t>
      </w:r>
      <w:r w:rsidRPr="00B5548B">
        <w:rPr>
          <w:rFonts w:ascii="Lato" w:hAnsi="Lato" w:cs="Arial"/>
          <w:i/>
          <w:sz w:val="28"/>
          <w:szCs w:val="28"/>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B5548B">
        <w:rPr>
          <w:rFonts w:ascii="Lato" w:hAnsi="Lato" w:cs="Arial"/>
          <w:sz w:val="28"/>
          <w:szCs w:val="28"/>
        </w:rPr>
        <w:t>”.</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b/>
          <w:sz w:val="28"/>
          <w:szCs w:val="28"/>
        </w:rPr>
      </w:pPr>
      <w:r w:rsidRPr="00B5548B">
        <w:rPr>
          <w:rFonts w:ascii="Lato" w:hAnsi="Lato" w:cs="Arial"/>
          <w:sz w:val="28"/>
          <w:szCs w:val="28"/>
        </w:rPr>
        <w:lastRenderedPageBreak/>
        <w:t xml:space="preserve">Así las cosas y,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Pr="00B5548B">
        <w:rPr>
          <w:rFonts w:ascii="Lato" w:hAnsi="Lato" w:cs="Arial"/>
          <w:b/>
          <w:sz w:val="28"/>
          <w:szCs w:val="28"/>
        </w:rPr>
        <w:t xml:space="preserve">se determina que al tratarse de datos personales de carácter confidencial </w:t>
      </w:r>
      <w:r w:rsidRPr="00B5548B">
        <w:rPr>
          <w:rFonts w:ascii="Lato" w:hAnsi="Lato" w:cs="Arial"/>
          <w:sz w:val="28"/>
          <w:szCs w:val="28"/>
        </w:rPr>
        <w:t>protegidos por la Ley</w:t>
      </w:r>
      <w:r w:rsidRPr="00B5548B">
        <w:rPr>
          <w:rFonts w:ascii="Lato" w:hAnsi="Lato" w:cs="Arial"/>
          <w:b/>
          <w:sz w:val="28"/>
          <w:szCs w:val="28"/>
        </w:rPr>
        <w:t xml:space="preserve"> y que no se cuenta con la autorización de los titulares de los mismos, para su entrega o divulgación, los datos que se omiten deben clasificarse como confidenciales y restringir su acceso.</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Efectivamente, con la aplicación de la prueba de daño, como sujeto obligado debemos justificar conforme al artículo 109 de la Ley estatal de la materia, que:</w:t>
      </w:r>
      <w:r w:rsidRPr="00B5548B">
        <w:rPr>
          <w:rFonts w:ascii="Lato" w:hAnsi="Lato" w:cs="Arial"/>
          <w:i/>
          <w:sz w:val="28"/>
          <w:szCs w:val="28"/>
        </w:rPr>
        <w:t xml:space="preserve"> </w:t>
      </w:r>
      <w:r w:rsidRPr="00B5548B">
        <w:rPr>
          <w:rFonts w:ascii="Lato" w:hAnsi="Lato" w:cs="Arial"/>
          <w:sz w:val="28"/>
          <w:szCs w:val="28"/>
        </w:rPr>
        <w:t>I. La divulgación de la información representa un riesgo real, demostrable e identificable de perjuicio significativo al interés público o de la seguridad nacional. A este respecto cabe decir que liberar la información de los sujetos privados que intervinieron en las causas penales y los expedientes de interés para los solicitantes,</w:t>
      </w:r>
      <w:r w:rsidRPr="00B5548B">
        <w:rPr>
          <w:rFonts w:ascii="Lato" w:hAnsi="Lato" w:cs="Arial"/>
          <w:b/>
          <w:sz w:val="28"/>
          <w:szCs w:val="28"/>
        </w:rPr>
        <w:t xml:space="preserve"> representa un riesgo real de injerencia de toda índole en sus vidas privadas, no autorizada, de ahí que no pueda liberarse la información,</w:t>
      </w:r>
      <w:r w:rsidRPr="00B5548B">
        <w:rPr>
          <w:rFonts w:ascii="Lato" w:hAnsi="Lato" w:cs="Arial"/>
          <w:sz w:val="28"/>
          <w:szCs w:val="28"/>
        </w:rPr>
        <w:t xml:space="preserve"> </w:t>
      </w:r>
      <w:r w:rsidRPr="00B5548B">
        <w:rPr>
          <w:rFonts w:ascii="Lato" w:hAnsi="Lato" w:cs="Arial"/>
          <w:b/>
          <w:sz w:val="28"/>
          <w:szCs w:val="28"/>
        </w:rPr>
        <w:t>privilegiando el derecho a la intimidad de los particulares;</w:t>
      </w:r>
      <w:r w:rsidRPr="00B5548B">
        <w:rPr>
          <w:rFonts w:ascii="Lato" w:hAnsi="Lato" w:cs="Arial"/>
          <w:sz w:val="28"/>
          <w:szCs w:val="28"/>
        </w:rPr>
        <w:t xml:space="preserve"> II. El riesgo o perjuicio que supondría la divulgación supera el interés público general de que se difunda. Del análisis del punto anterior, se advierte que </w:t>
      </w:r>
      <w:r w:rsidRPr="00B5548B">
        <w:rPr>
          <w:rFonts w:ascii="Lato" w:hAnsi="Lato" w:cs="Arial"/>
          <w:b/>
          <w:sz w:val="28"/>
          <w:szCs w:val="28"/>
        </w:rPr>
        <w:t xml:space="preserve">el daño que se pudiese causar a los particulares al divulgar sus datos personales, supera el interés público de que se conozcan, </w:t>
      </w:r>
      <w:r w:rsidRPr="00B5548B">
        <w:rPr>
          <w:rFonts w:ascii="Lato" w:hAnsi="Lato" w:cs="Arial"/>
          <w:sz w:val="28"/>
          <w:szCs w:val="28"/>
        </w:rPr>
        <w:t xml:space="preserve">pues no se puede suponer ningún interés público de liberarse los mismos, por lo que la clasificación de confidencialidad debe persistir, pues se reitera, que no se cuenta con el consentimiento de los particulares para la </w:t>
      </w:r>
      <w:r w:rsidRPr="00B5548B">
        <w:rPr>
          <w:rFonts w:ascii="Lato" w:hAnsi="Lato" w:cs="Arial"/>
          <w:sz w:val="28"/>
          <w:szCs w:val="28"/>
        </w:rPr>
        <w:lastRenderedPageBreak/>
        <w:t xml:space="preserve">liberación de sus datos; III. La limitación se adecua al principio de proporcionalidad y representa el medio menos restrictivo disponible para evitar el perjuicio. En el caso que nos ocupa, </w:t>
      </w:r>
      <w:r w:rsidRPr="00B5548B">
        <w:rPr>
          <w:rFonts w:ascii="Lato" w:hAnsi="Lato" w:cs="Arial"/>
          <w:b/>
          <w:sz w:val="28"/>
          <w:szCs w:val="28"/>
        </w:rPr>
        <w:t xml:space="preserve">la limitación al derecho de acceso a la información es proporcional a la protección de la intimidad de los terceros y es el único medio para evitar el perjuicio, pues </w:t>
      </w:r>
      <w:r w:rsidRPr="00B5548B">
        <w:rPr>
          <w:rFonts w:ascii="Lato" w:hAnsi="Lato" w:cs="Arial"/>
          <w:sz w:val="28"/>
          <w:szCs w:val="28"/>
        </w:rPr>
        <w:t>frente al marco constitucional vigente,</w:t>
      </w:r>
      <w:r w:rsidRPr="00B5548B">
        <w:rPr>
          <w:rFonts w:ascii="Lato" w:hAnsi="Lato" w:cs="Arial"/>
          <w:b/>
          <w:sz w:val="28"/>
          <w:szCs w:val="28"/>
        </w:rPr>
        <w:t xml:space="preserve"> en términos del artículo 1</w:t>
      </w:r>
      <w:r w:rsidRPr="00B5548B">
        <w:rPr>
          <w:rFonts w:ascii="Lato" w:hAnsi="Lato" w:cs="Arial"/>
          <w:b/>
          <w:sz w:val="28"/>
          <w:szCs w:val="28"/>
          <w:vertAlign w:val="superscript"/>
        </w:rPr>
        <w:t>ro</w:t>
      </w:r>
      <w:r w:rsidRPr="00B5548B">
        <w:rPr>
          <w:rFonts w:ascii="Lato" w:hAnsi="Lato" w:cs="Arial"/>
          <w:b/>
          <w:sz w:val="28"/>
          <w:szCs w:val="28"/>
        </w:rPr>
        <w:t xml:space="preserve"> de la Constitución </w:t>
      </w:r>
      <w:r w:rsidRPr="00B5548B">
        <w:rPr>
          <w:rFonts w:ascii="Lato" w:hAnsi="Lato" w:cs="Arial"/>
          <w:sz w:val="28"/>
          <w:szCs w:val="28"/>
        </w:rPr>
        <w:t>Política de los Estados Unidos Mexicanos,</w:t>
      </w:r>
      <w:r w:rsidRPr="00B5548B">
        <w:rPr>
          <w:rFonts w:ascii="Lato" w:hAnsi="Lato" w:cs="Arial"/>
          <w:b/>
          <w:sz w:val="28"/>
          <w:szCs w:val="28"/>
        </w:rPr>
        <w:t xml:space="preserve"> esta autoridad debe dar igual tratamiento en la protección de los derechos fundamentales, </w:t>
      </w:r>
      <w:r w:rsidRPr="00B5548B">
        <w:rPr>
          <w:rFonts w:ascii="Lato" w:hAnsi="Lato" w:cs="Arial"/>
          <w:sz w:val="28"/>
          <w:szCs w:val="28"/>
        </w:rPr>
        <w:t xml:space="preserve">tanto del solicitante de la información como de los sujetos de quienes se deben proteger sus datos personales. </w:t>
      </w:r>
    </w:p>
    <w:p w:rsidR="00DA3F0D" w:rsidRPr="00496A84"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3) </w:t>
      </w:r>
      <w:r w:rsidRPr="00B5548B">
        <w:rPr>
          <w:rFonts w:ascii="Lato" w:hAnsi="Lato" w:cs="Arial"/>
          <w:b/>
          <w:sz w:val="28"/>
          <w:szCs w:val="28"/>
        </w:rPr>
        <w:t>De la aprobación del acto de clasificación y versión pública elaborada</w:t>
      </w:r>
      <w:r w:rsidRPr="00B5548B">
        <w:rPr>
          <w:rFonts w:ascii="Lato" w:hAnsi="Lato" w:cs="Arial"/>
          <w:sz w:val="28"/>
          <w:szCs w:val="28"/>
        </w:rPr>
        <w:t>: Visto lo fundado y motivado en los apartados anteriores, los integrantes del Comité,</w:t>
      </w:r>
      <w:r w:rsidRPr="00B5548B">
        <w:rPr>
          <w:rFonts w:ascii="Lato" w:hAnsi="Lato" w:cs="Arial"/>
          <w:b/>
          <w:sz w:val="28"/>
          <w:szCs w:val="28"/>
        </w:rPr>
        <w:t xml:space="preserve"> ACUERDAN: aprobar la clasificación de la información de carácter confidencial, consistente en los datos personales de los sujetos que intervienen en el proceso del que deriva la versión pública elaborada </w:t>
      </w:r>
      <w:r w:rsidRPr="00B5548B">
        <w:rPr>
          <w:rFonts w:ascii="Lato" w:hAnsi="Lato" w:cs="Arial"/>
          <w:sz w:val="28"/>
          <w:szCs w:val="28"/>
        </w:rPr>
        <w:t xml:space="preserve">por la Titular del Juzgado Primero Familiar del Partido Judicial de Mexicali, Baja California y </w:t>
      </w:r>
      <w:r w:rsidRPr="00B5548B">
        <w:rPr>
          <w:rFonts w:ascii="Lato" w:hAnsi="Lato" w:cs="Arial"/>
          <w:b/>
          <w:sz w:val="28"/>
          <w:szCs w:val="28"/>
        </w:rPr>
        <w:t>por ende, ésta queda autorizada por las razones y fundamentos expuestos con anterioridad.</w:t>
      </w:r>
    </w:p>
    <w:p w:rsidR="00DA3F0D" w:rsidRPr="00496A84"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Notifíquese y entréguese copia de esta acta al solicitante, por conducto de la Unidad de Transparencia, junto con la copia de la respuesta y la versión pública de la información solicitada. Igualmente, lo anterior deberá notificarse vía correo electrónico, por conducto de la Unidad de Transparencia, a la autoridad ya indicada, para su conocimiento y fines legales procedentes.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Sin otro asunto que tratar, se cierra esta sesión, siendo las diez horas con treinta minutos del día ocho de marzo de 2018.</w:t>
      </w: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SALVADOR JUAN ORTIZ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Magistrado Presidente del Tribunal Superior de Justicia y </w:t>
      </w:r>
    </w:p>
    <w:p w:rsidR="00DA3F0D" w:rsidRPr="00B5548B" w:rsidRDefault="00DA3F0D" w:rsidP="00DA3F0D">
      <w:pPr>
        <w:jc w:val="center"/>
        <w:rPr>
          <w:rFonts w:ascii="Lato" w:hAnsi="Lato" w:cs="Arial"/>
          <w:bCs/>
          <w:sz w:val="28"/>
          <w:szCs w:val="28"/>
        </w:rPr>
      </w:pPr>
      <w:proofErr w:type="gramStart"/>
      <w:r w:rsidRPr="00B5548B">
        <w:rPr>
          <w:rFonts w:ascii="Lato" w:hAnsi="Lato" w:cs="Arial"/>
          <w:bCs/>
          <w:sz w:val="28"/>
          <w:szCs w:val="28"/>
        </w:rPr>
        <w:t>del</w:t>
      </w:r>
      <w:proofErr w:type="gramEnd"/>
      <w:r w:rsidRPr="00B5548B">
        <w:rPr>
          <w:rFonts w:ascii="Lato" w:hAnsi="Lato" w:cs="Arial"/>
          <w:bCs/>
          <w:sz w:val="28"/>
          <w:szCs w:val="28"/>
        </w:rPr>
        <w:t xml:space="preserve"> Consejo de la Judicatura del Estado </w:t>
      </w: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MAGISTRADA COLUMBA IMELDA AMADOR GUILLÉN</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Consejera President</w:t>
      </w:r>
      <w:r w:rsidR="00496A84">
        <w:rPr>
          <w:rFonts w:ascii="Lato" w:hAnsi="Lato" w:cs="Arial"/>
          <w:bCs/>
          <w:sz w:val="28"/>
          <w:szCs w:val="28"/>
        </w:rPr>
        <w:t>a</w:t>
      </w:r>
      <w:r w:rsidRPr="00B5548B">
        <w:rPr>
          <w:rFonts w:ascii="Lato" w:hAnsi="Lato" w:cs="Arial"/>
          <w:bCs/>
          <w:sz w:val="28"/>
          <w:szCs w:val="28"/>
        </w:rPr>
        <w:t xml:space="preserve"> de la Comisión de Vigilancia y Disciplina del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Consejo de la Judicatura del Estado</w:t>
      </w: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FÉLIX HERRERA ESQUIVEL</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Adscrito a la Primera Sala Civil del Tribunal Superior de</w:t>
      </w:r>
      <w:r w:rsidR="00496A84">
        <w:rPr>
          <w:rFonts w:ascii="Lato" w:hAnsi="Lato" w:cs="Arial"/>
          <w:bCs/>
          <w:sz w:val="28"/>
          <w:szCs w:val="28"/>
        </w:rPr>
        <w:t xml:space="preserve"> </w:t>
      </w:r>
      <w:r w:rsidRPr="00B5548B">
        <w:rPr>
          <w:rFonts w:ascii="Lato" w:hAnsi="Lato" w:cs="Arial"/>
          <w:bCs/>
          <w:sz w:val="28"/>
          <w:szCs w:val="28"/>
        </w:rPr>
        <w:t>Justicia</w:t>
      </w:r>
    </w:p>
    <w:p w:rsidR="00DA3F0D" w:rsidRPr="00B5548B" w:rsidRDefault="00DA3F0D" w:rsidP="00DA3F0D">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C.P. LIC. JESÚS ARIEL DURÁN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Director de la Unidad Jurídica y Asesoría Interna </w:t>
      </w: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 P. JORGE ALBERTO CORAL GUTIÉRREZ</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Oficial Mayor del Consejo de la Judicatura del Estado</w:t>
      </w: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496A84" w:rsidRPr="00B5548B" w:rsidRDefault="00496A84" w:rsidP="00496A84">
      <w:pPr>
        <w:jc w:val="center"/>
        <w:rPr>
          <w:rFonts w:ascii="Lato" w:hAnsi="Lato" w:cs="Arial"/>
          <w:bCs/>
          <w:sz w:val="28"/>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M.D. ELSA AMALIA KULJACHA LERMA</w:t>
      </w:r>
    </w:p>
    <w:p w:rsidR="00DA3F0D" w:rsidRPr="00B5548B" w:rsidRDefault="00DA3F0D" w:rsidP="00DA3F0D">
      <w:pPr>
        <w:jc w:val="center"/>
        <w:rPr>
          <w:rFonts w:ascii="Lato" w:hAnsi="Lato" w:cs="Arial"/>
          <w:sz w:val="28"/>
          <w:szCs w:val="28"/>
        </w:rPr>
      </w:pPr>
      <w:r w:rsidRPr="00B5548B">
        <w:rPr>
          <w:rFonts w:ascii="Lato" w:hAnsi="Lato" w:cs="Arial"/>
          <w:bCs/>
          <w:sz w:val="28"/>
          <w:szCs w:val="28"/>
        </w:rPr>
        <w:t>Secretaria Técnica del Comité</w:t>
      </w:r>
    </w:p>
    <w:p w:rsidR="002F09DC" w:rsidRPr="007857F9" w:rsidRDefault="002F09DC" w:rsidP="00DA3F0D">
      <w:pPr>
        <w:spacing w:line="360" w:lineRule="auto"/>
        <w:jc w:val="both"/>
        <w:rPr>
          <w:rFonts w:asciiTheme="minorHAnsi" w:hAnsiTheme="minorHAnsi"/>
          <w:szCs w:val="18"/>
        </w:rPr>
      </w:pPr>
    </w:p>
    <w:sectPr w:rsidR="002F09DC" w:rsidRPr="007857F9"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9A" w:rsidRDefault="00383B9A" w:rsidP="00CC10D2">
      <w:r>
        <w:separator/>
      </w:r>
    </w:p>
  </w:endnote>
  <w:endnote w:type="continuationSeparator" w:id="0">
    <w:p w:rsidR="00383B9A" w:rsidRDefault="00383B9A"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DA3F0D">
            <w:rPr>
              <w:rFonts w:ascii="Lato" w:hAnsi="Lato" w:cs="Arial"/>
            </w:rPr>
            <w:t>10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646F1" w:rsidRPr="00DA524A">
            <w:rPr>
              <w:rFonts w:ascii="Lato" w:hAnsi="Lato" w:cs="Arial"/>
            </w:rPr>
            <w:fldChar w:fldCharType="begin"/>
          </w:r>
          <w:r w:rsidRPr="00DA524A">
            <w:rPr>
              <w:rFonts w:ascii="Lato" w:hAnsi="Lato" w:cs="Arial"/>
            </w:rPr>
            <w:instrText xml:space="preserve"> PAGE   \* MERGEFORMAT </w:instrText>
          </w:r>
          <w:r w:rsidR="00F646F1" w:rsidRPr="00DA524A">
            <w:rPr>
              <w:rFonts w:ascii="Lato" w:hAnsi="Lato" w:cs="Arial"/>
            </w:rPr>
            <w:fldChar w:fldCharType="separate"/>
          </w:r>
          <w:r w:rsidR="00496A84">
            <w:rPr>
              <w:rFonts w:ascii="Lato" w:hAnsi="Lato" w:cs="Arial"/>
              <w:noProof/>
            </w:rPr>
            <w:t>9</w:t>
          </w:r>
          <w:r w:rsidR="00F646F1" w:rsidRPr="00DA524A">
            <w:rPr>
              <w:rFonts w:ascii="Lato" w:hAnsi="Lato" w:cs="Arial"/>
            </w:rPr>
            <w:fldChar w:fldCharType="end"/>
          </w:r>
          <w:r w:rsidRPr="00DA524A">
            <w:rPr>
              <w:rFonts w:ascii="Lato" w:hAnsi="Lato" w:cs="Arial"/>
            </w:rPr>
            <w:t xml:space="preserve"> de </w:t>
          </w:r>
          <w:fldSimple w:instr=" NUMPAGES   \* MERGEFORMAT ">
            <w:r w:rsidR="00496A84" w:rsidRPr="00496A84">
              <w:rPr>
                <w:rFonts w:ascii="Lato" w:hAnsi="Lato" w:cs="Arial"/>
                <w:noProof/>
              </w:rPr>
              <w:t>11</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A26C19">
            <w:rPr>
              <w:rFonts w:ascii="Lato" w:hAnsi="Lato" w:cs="Arial"/>
            </w:rPr>
            <w:t>1</w:t>
          </w:r>
          <w:r w:rsidR="00DA3F0D">
            <w:rPr>
              <w:rFonts w:ascii="Lato" w:hAnsi="Lato" w:cs="Arial"/>
            </w:rPr>
            <w:t>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646F1" w:rsidRPr="00DA524A">
            <w:rPr>
              <w:rFonts w:ascii="Lato" w:hAnsi="Lato" w:cs="Arial"/>
            </w:rPr>
            <w:fldChar w:fldCharType="begin"/>
          </w:r>
          <w:r w:rsidRPr="00DA524A">
            <w:rPr>
              <w:rFonts w:ascii="Lato" w:hAnsi="Lato" w:cs="Arial"/>
            </w:rPr>
            <w:instrText xml:space="preserve"> PAGE   \* MERGEFORMAT </w:instrText>
          </w:r>
          <w:r w:rsidR="00F646F1" w:rsidRPr="00DA524A">
            <w:rPr>
              <w:rFonts w:ascii="Lato" w:hAnsi="Lato" w:cs="Arial"/>
            </w:rPr>
            <w:fldChar w:fldCharType="separate"/>
          </w:r>
          <w:r w:rsidR="00DA3F0D">
            <w:rPr>
              <w:rFonts w:ascii="Lato" w:hAnsi="Lato" w:cs="Arial"/>
              <w:noProof/>
            </w:rPr>
            <w:t>1</w:t>
          </w:r>
          <w:r w:rsidR="00F646F1" w:rsidRPr="00DA524A">
            <w:rPr>
              <w:rFonts w:ascii="Lato" w:hAnsi="Lato" w:cs="Arial"/>
            </w:rPr>
            <w:fldChar w:fldCharType="end"/>
          </w:r>
          <w:r w:rsidRPr="00DA524A">
            <w:rPr>
              <w:rFonts w:ascii="Lato" w:hAnsi="Lato" w:cs="Arial"/>
            </w:rPr>
            <w:t xml:space="preserve"> de </w:t>
          </w:r>
          <w:fldSimple w:instr=" NUMPAGES   \* MERGEFORMAT ">
            <w:r w:rsidR="00DA3F0D" w:rsidRPr="00DA3F0D">
              <w:rPr>
                <w:rFonts w:ascii="Lato" w:hAnsi="Lato" w:cs="Arial"/>
                <w:noProof/>
              </w:rPr>
              <w:t>11</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9A" w:rsidRDefault="00383B9A" w:rsidP="00CC10D2">
      <w:r>
        <w:separator/>
      </w:r>
    </w:p>
  </w:footnote>
  <w:footnote w:type="continuationSeparator" w:id="0">
    <w:p w:rsidR="00383B9A" w:rsidRDefault="00383B9A"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480E"/>
    <w:rsid w:val="00053985"/>
    <w:rsid w:val="00061D6B"/>
    <w:rsid w:val="0007627B"/>
    <w:rsid w:val="000B072A"/>
    <w:rsid w:val="000C6F93"/>
    <w:rsid w:val="000D6DBF"/>
    <w:rsid w:val="000E6C79"/>
    <w:rsid w:val="000F58C6"/>
    <w:rsid w:val="00101CA7"/>
    <w:rsid w:val="001229AA"/>
    <w:rsid w:val="001238C8"/>
    <w:rsid w:val="001330D8"/>
    <w:rsid w:val="001611BC"/>
    <w:rsid w:val="001713C7"/>
    <w:rsid w:val="001C5269"/>
    <w:rsid w:val="001E1D0F"/>
    <w:rsid w:val="001E46D1"/>
    <w:rsid w:val="001F2757"/>
    <w:rsid w:val="00214DEF"/>
    <w:rsid w:val="0023379E"/>
    <w:rsid w:val="00251226"/>
    <w:rsid w:val="00261D85"/>
    <w:rsid w:val="00271B0C"/>
    <w:rsid w:val="002A516B"/>
    <w:rsid w:val="002B5988"/>
    <w:rsid w:val="002E15ED"/>
    <w:rsid w:val="002F09DC"/>
    <w:rsid w:val="00311E94"/>
    <w:rsid w:val="00311F36"/>
    <w:rsid w:val="00331BE6"/>
    <w:rsid w:val="00343754"/>
    <w:rsid w:val="00367D01"/>
    <w:rsid w:val="00383B9A"/>
    <w:rsid w:val="00385B68"/>
    <w:rsid w:val="00387157"/>
    <w:rsid w:val="00397E4C"/>
    <w:rsid w:val="003A7045"/>
    <w:rsid w:val="003B2854"/>
    <w:rsid w:val="003C30F1"/>
    <w:rsid w:val="003E1909"/>
    <w:rsid w:val="003F0846"/>
    <w:rsid w:val="0040466C"/>
    <w:rsid w:val="004671E1"/>
    <w:rsid w:val="00496A84"/>
    <w:rsid w:val="004A2A3A"/>
    <w:rsid w:val="004D2D18"/>
    <w:rsid w:val="004E4631"/>
    <w:rsid w:val="004F1186"/>
    <w:rsid w:val="004F5386"/>
    <w:rsid w:val="004F700D"/>
    <w:rsid w:val="00503DA5"/>
    <w:rsid w:val="0051010A"/>
    <w:rsid w:val="005157B0"/>
    <w:rsid w:val="005357C8"/>
    <w:rsid w:val="005B5910"/>
    <w:rsid w:val="005B76DC"/>
    <w:rsid w:val="0060496B"/>
    <w:rsid w:val="00607CC2"/>
    <w:rsid w:val="00640D3C"/>
    <w:rsid w:val="0064178E"/>
    <w:rsid w:val="006475F0"/>
    <w:rsid w:val="0066482F"/>
    <w:rsid w:val="00671E47"/>
    <w:rsid w:val="00672F3D"/>
    <w:rsid w:val="00686C4B"/>
    <w:rsid w:val="00691712"/>
    <w:rsid w:val="00716AD1"/>
    <w:rsid w:val="00722BDD"/>
    <w:rsid w:val="007356C3"/>
    <w:rsid w:val="00757129"/>
    <w:rsid w:val="007857F9"/>
    <w:rsid w:val="0079042D"/>
    <w:rsid w:val="007A7B81"/>
    <w:rsid w:val="007F2222"/>
    <w:rsid w:val="00850B78"/>
    <w:rsid w:val="0086420D"/>
    <w:rsid w:val="00912682"/>
    <w:rsid w:val="00920EF1"/>
    <w:rsid w:val="00934328"/>
    <w:rsid w:val="009667D9"/>
    <w:rsid w:val="00A1042A"/>
    <w:rsid w:val="00A26C19"/>
    <w:rsid w:val="00A756ED"/>
    <w:rsid w:val="00AF227B"/>
    <w:rsid w:val="00B473B3"/>
    <w:rsid w:val="00BA7BBD"/>
    <w:rsid w:val="00C45056"/>
    <w:rsid w:val="00C63C55"/>
    <w:rsid w:val="00C7162C"/>
    <w:rsid w:val="00C729AA"/>
    <w:rsid w:val="00C74427"/>
    <w:rsid w:val="00C92ADA"/>
    <w:rsid w:val="00CC10D2"/>
    <w:rsid w:val="00CF1ABD"/>
    <w:rsid w:val="00D05C07"/>
    <w:rsid w:val="00D3009D"/>
    <w:rsid w:val="00D31A6A"/>
    <w:rsid w:val="00D96376"/>
    <w:rsid w:val="00DA3F0D"/>
    <w:rsid w:val="00DA524A"/>
    <w:rsid w:val="00DA5275"/>
    <w:rsid w:val="00DB58AE"/>
    <w:rsid w:val="00DC3364"/>
    <w:rsid w:val="00DD711C"/>
    <w:rsid w:val="00DE58B1"/>
    <w:rsid w:val="00DF76A5"/>
    <w:rsid w:val="00E0178D"/>
    <w:rsid w:val="00E22361"/>
    <w:rsid w:val="00E50918"/>
    <w:rsid w:val="00E82032"/>
    <w:rsid w:val="00E8536E"/>
    <w:rsid w:val="00E95217"/>
    <w:rsid w:val="00EA2C81"/>
    <w:rsid w:val="00EB20A0"/>
    <w:rsid w:val="00EB7052"/>
    <w:rsid w:val="00F27B98"/>
    <w:rsid w:val="00F4334D"/>
    <w:rsid w:val="00F646F1"/>
    <w:rsid w:val="00F9104E"/>
    <w:rsid w:val="00F91647"/>
    <w:rsid w:val="00F93103"/>
    <w:rsid w:val="00F97456"/>
    <w:rsid w:val="00FB53CD"/>
    <w:rsid w:val="00FB652B"/>
    <w:rsid w:val="00FB71F0"/>
    <w:rsid w:val="00FE400C"/>
    <w:rsid w:val="00FE4C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A5CFA-F7F7-4AE1-BDA7-84867AE3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2452</Words>
  <Characters>13487</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2018-03-06T21:02:00Z</cp:lastPrinted>
  <dcterms:created xsi:type="dcterms:W3CDTF">2018-03-09T17:12:00Z</dcterms:created>
  <dcterms:modified xsi:type="dcterms:W3CDTF">2018-03-09T17:28:00Z</dcterms:modified>
</cp:coreProperties>
</file>