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VA A LA SESIÓN EXTRAORDINARIA 1</w:t>
      </w:r>
      <w:r w:rsidR="006C41DA">
        <w:rPr>
          <w:rFonts w:ascii="Lato" w:hAnsi="Lato" w:cs="Arial"/>
          <w:b/>
        </w:rPr>
        <w:t>2</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6C41DA" w:rsidRDefault="006C41DA" w:rsidP="00D8738B">
      <w:pPr>
        <w:spacing w:line="360" w:lineRule="auto"/>
        <w:jc w:val="both"/>
        <w:rPr>
          <w:rFonts w:ascii="Lato" w:hAnsi="Lato" w:cs="Arial"/>
        </w:rPr>
      </w:pPr>
      <w:r w:rsidRPr="006C41DA">
        <w:rPr>
          <w:rFonts w:ascii="Lato" w:hAnsi="Lato" w:cs="Arial"/>
        </w:rPr>
        <w:t xml:space="preserve">En Mexicali, Baja California, siendo las trece horas del día doce de marzo de dos mil diecinueve,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Maestro Salvador Juan Ortiz Morales, el Magistrado Alejandro Isaac Fragozo López, el Consejero Presidente de la Comisión de </w:t>
      </w:r>
      <w:r w:rsidRPr="00D8738B">
        <w:rPr>
          <w:rFonts w:ascii="Lato" w:hAnsi="Lato" w:cs="Arial"/>
        </w:rPr>
        <w:t>Administración del Consejo de la Judica</w:t>
      </w:r>
      <w:r>
        <w:rPr>
          <w:rFonts w:ascii="Lato" w:hAnsi="Lato" w:cs="Arial"/>
        </w:rPr>
        <w:t>tura</w:t>
      </w:r>
      <w:r w:rsidRPr="006C41DA">
        <w:rPr>
          <w:rFonts w:ascii="Lato" w:hAnsi="Lato" w:cs="Arial"/>
        </w:rPr>
        <w:t>, Licenciado 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Rosaura Zamora Robles</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Jesus Ariel Durán Morales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del Comité, para celebrar la sesión extraordinaria 12/2019.</w:t>
      </w:r>
    </w:p>
    <w:p w:rsidR="00D8738B" w:rsidRDefault="00D8738B" w:rsidP="00D8738B">
      <w:pPr>
        <w:spacing w:line="360" w:lineRule="auto"/>
        <w:jc w:val="both"/>
        <w:rPr>
          <w:rFonts w:ascii="Lato" w:hAnsi="Lato" w:cs="Arial"/>
        </w:rPr>
      </w:pPr>
    </w:p>
    <w:p w:rsidR="006C41DA" w:rsidRPr="006C41DA" w:rsidRDefault="006C41DA" w:rsidP="00D8738B">
      <w:pPr>
        <w:spacing w:line="360"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D8738B" w:rsidRDefault="00D8738B" w:rsidP="00D8738B">
      <w:pPr>
        <w:spacing w:line="360" w:lineRule="auto"/>
        <w:jc w:val="both"/>
        <w:rPr>
          <w:rFonts w:ascii="Lato" w:hAnsi="Lato" w:cs="Arial"/>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D8738B">
      <w:pPr>
        <w:spacing w:before="60" w:line="360" w:lineRule="auto"/>
        <w:jc w:val="both"/>
        <w:rPr>
          <w:rFonts w:ascii="Lato" w:hAnsi="Lato" w:cs="Arial"/>
          <w:sz w:val="28"/>
          <w:szCs w:val="28"/>
        </w:rPr>
      </w:pPr>
      <w:r w:rsidRPr="006C41DA">
        <w:rPr>
          <w:rFonts w:ascii="Lato" w:hAnsi="Lato" w:cs="Arial"/>
          <w:b/>
        </w:rPr>
        <w:t>ÚNICO. Procedimiento de inexistencia de la información 02/2019</w:t>
      </w:r>
      <w:r w:rsidRPr="006C41DA">
        <w:rPr>
          <w:rFonts w:ascii="Lato" w:hAnsi="Lato" w:cs="Arial"/>
        </w:rPr>
        <w:t>, para dar cumplimiento a las solicitudes de acceso a la información 00122819 y 00122919, realizadas</w:t>
      </w:r>
      <w:r w:rsidR="00247B16">
        <w:rPr>
          <w:rFonts w:ascii="Lato" w:hAnsi="Lato" w:cs="Arial"/>
        </w:rPr>
        <w:t xml:space="preserve"> </w:t>
      </w:r>
      <w:r w:rsidRPr="006C41DA">
        <w:rPr>
          <w:rFonts w:ascii="Lato" w:hAnsi="Lato" w:cs="Arial"/>
        </w:rPr>
        <w:t>mediante la Plataforma Nacional de Transparencia.</w:t>
      </w:r>
      <w:r w:rsidRPr="004F7A88">
        <w:rPr>
          <w:rFonts w:ascii="Lato" w:hAnsi="Lato" w:cs="Arial"/>
          <w:sz w:val="28"/>
          <w:szCs w:val="28"/>
        </w:rPr>
        <w:t xml:space="preserve"> </w:t>
      </w:r>
    </w:p>
    <w:p w:rsidR="006C41DA" w:rsidRPr="006C41DA" w:rsidRDefault="006C41DA" w:rsidP="006C41DA">
      <w:pPr>
        <w:spacing w:line="360" w:lineRule="auto"/>
        <w:jc w:val="both"/>
        <w:rPr>
          <w:rFonts w:ascii="Lato" w:hAnsi="Lato" w:cs="Arial"/>
          <w:b/>
        </w:rPr>
      </w:pPr>
      <w:r w:rsidRPr="006C41DA">
        <w:rPr>
          <w:rFonts w:ascii="Lato" w:hAnsi="Lato" w:cs="Arial"/>
          <w:b/>
        </w:rPr>
        <w:lastRenderedPageBreak/>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declaración de inexistencia emitida por la Juez Segundo Civil del Partido Judicial de Mexicali, Baja California, respecto al </w:t>
      </w:r>
      <w:r w:rsidR="004D4F59">
        <w:rPr>
          <w:rFonts w:ascii="Lato" w:hAnsi="Lato" w:cs="Arial"/>
          <w:b/>
        </w:rPr>
        <w:t xml:space="preserve">juicio sucesorio testamentario radicado bajo el </w:t>
      </w:r>
      <w:r w:rsidRPr="006C41DA">
        <w:rPr>
          <w:rFonts w:ascii="Lato" w:hAnsi="Lato" w:cs="Arial"/>
          <w:b/>
        </w:rPr>
        <w:t>expediente 797/1965</w:t>
      </w:r>
      <w:r w:rsidR="004D4F59">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6C41DA" w:rsidRPr="00B47215" w:rsidRDefault="006C41DA" w:rsidP="006C41DA">
      <w:pPr>
        <w:spacing w:line="360" w:lineRule="auto"/>
        <w:jc w:val="both"/>
        <w:rPr>
          <w:rFonts w:ascii="Lato" w:hAnsi="Lato" w:cs="Arial"/>
          <w:b/>
          <w:sz w:val="10"/>
        </w:rPr>
      </w:pPr>
    </w:p>
    <w:p w:rsidR="006C41DA" w:rsidRPr="006C41DA" w:rsidRDefault="006C41DA" w:rsidP="006C41DA">
      <w:pPr>
        <w:pStyle w:val="Prrafodelista"/>
        <w:numPr>
          <w:ilvl w:val="0"/>
          <w:numId w:val="3"/>
        </w:numPr>
        <w:spacing w:after="0" w:line="360" w:lineRule="auto"/>
        <w:jc w:val="both"/>
        <w:rPr>
          <w:rFonts w:ascii="Lato" w:hAnsi="Lato" w:cs="Arial"/>
          <w:b/>
          <w:sz w:val="24"/>
          <w:szCs w:val="24"/>
        </w:rPr>
      </w:pPr>
      <w:r w:rsidRPr="006C41DA">
        <w:rPr>
          <w:rFonts w:ascii="Lato" w:hAnsi="Lato" w:cs="Arial"/>
          <w:b/>
          <w:sz w:val="24"/>
          <w:szCs w:val="24"/>
        </w:rPr>
        <w:t>Como Antecedentes tenemos:</w:t>
      </w:r>
    </w:p>
    <w:p w:rsidR="006C41DA" w:rsidRPr="004D4F59" w:rsidRDefault="006C41DA" w:rsidP="006C41DA">
      <w:pPr>
        <w:spacing w:line="360" w:lineRule="auto"/>
        <w:jc w:val="both"/>
        <w:rPr>
          <w:rFonts w:ascii="Lato" w:hAnsi="Lato" w:cs="Arial"/>
        </w:rPr>
      </w:pPr>
      <w:r w:rsidRPr="006C41DA">
        <w:rPr>
          <w:rFonts w:ascii="Lato" w:hAnsi="Lato" w:cs="Arial"/>
        </w:rPr>
        <w:t>1.1) El peticionario, mediante el registro de los folios 00122819 y 00122919,</w:t>
      </w:r>
      <w:r w:rsidR="00247B16">
        <w:rPr>
          <w:rFonts w:ascii="Lato" w:hAnsi="Lato" w:cs="Arial"/>
        </w:rPr>
        <w:t xml:space="preserve"> </w:t>
      </w:r>
      <w:r w:rsidRPr="006C41DA">
        <w:rPr>
          <w:rFonts w:ascii="Lato" w:hAnsi="Lato" w:cs="Arial"/>
        </w:rPr>
        <w:t>de la Plataforma Nacional de Transparencia, solicitó</w:t>
      </w:r>
      <w:r w:rsidR="004D4F59">
        <w:rPr>
          <w:rFonts w:ascii="Lato" w:hAnsi="Lato" w:cs="Arial"/>
        </w:rPr>
        <w:t xml:space="preserve"> c</w:t>
      </w:r>
      <w:r w:rsidRPr="004D4F59">
        <w:rPr>
          <w:rFonts w:ascii="Lato" w:hAnsi="Lato" w:cs="Arial"/>
        </w:rPr>
        <w:t xml:space="preserve">opia </w:t>
      </w:r>
      <w:r w:rsidR="004D4F59">
        <w:rPr>
          <w:rFonts w:ascii="Lato" w:hAnsi="Lato" w:cs="Arial"/>
        </w:rPr>
        <w:t>c</w:t>
      </w:r>
      <w:r w:rsidRPr="004D4F59">
        <w:rPr>
          <w:rFonts w:ascii="Lato" w:hAnsi="Lato" w:cs="Arial"/>
        </w:rPr>
        <w:t xml:space="preserve">ertificada de todo lo actuado en el </w:t>
      </w:r>
      <w:r w:rsidR="004D4F59">
        <w:rPr>
          <w:rFonts w:ascii="Lato" w:hAnsi="Lato" w:cs="Arial"/>
        </w:rPr>
        <w:t xml:space="preserve">juicio sucesorio radicado bajo el </w:t>
      </w:r>
      <w:r w:rsidRPr="004D4F59">
        <w:rPr>
          <w:rFonts w:ascii="Lato" w:hAnsi="Lato" w:cs="Arial"/>
        </w:rPr>
        <w:t>n</w:t>
      </w:r>
      <w:r w:rsidR="004D4F59">
        <w:rPr>
          <w:rFonts w:ascii="Lato" w:hAnsi="Lato" w:cs="Arial"/>
        </w:rPr>
        <w:t>ú</w:t>
      </w:r>
      <w:r w:rsidRPr="004D4F59">
        <w:rPr>
          <w:rFonts w:ascii="Lato" w:hAnsi="Lato" w:cs="Arial"/>
        </w:rPr>
        <w:t xml:space="preserve">mero </w:t>
      </w:r>
      <w:r w:rsidR="004D4F59">
        <w:rPr>
          <w:rFonts w:ascii="Lato" w:hAnsi="Lato" w:cs="Arial"/>
        </w:rPr>
        <w:t xml:space="preserve">de expediente </w:t>
      </w:r>
      <w:r w:rsidRPr="004D4F59">
        <w:rPr>
          <w:rFonts w:ascii="Lato" w:hAnsi="Lato" w:cs="Arial"/>
        </w:rPr>
        <w:t xml:space="preserve">797/1965 tramitado ante el Juzgado Segundo de lo Civil </w:t>
      </w:r>
      <w:r w:rsidR="002C0210" w:rsidRPr="004D4F59">
        <w:rPr>
          <w:rFonts w:ascii="Lato" w:hAnsi="Lato" w:cs="Arial"/>
        </w:rPr>
        <w:t>de Mexicali, Baja California</w:t>
      </w:r>
      <w:r w:rsidR="004D4F59">
        <w:rPr>
          <w:rFonts w:ascii="Lato" w:hAnsi="Lato" w:cs="Arial"/>
        </w:rPr>
        <w:t xml:space="preserve">, manifestando que </w:t>
      </w:r>
      <w:r w:rsidRPr="004D4F59">
        <w:rPr>
          <w:rFonts w:ascii="Lato" w:hAnsi="Lato" w:cs="Arial"/>
        </w:rPr>
        <w:t>el autor de la herencia otorg</w:t>
      </w:r>
      <w:r w:rsidR="004D4F59">
        <w:rPr>
          <w:rFonts w:ascii="Lato" w:hAnsi="Lato" w:cs="Arial"/>
        </w:rPr>
        <w:t>ó</w:t>
      </w:r>
      <w:r w:rsidRPr="004D4F59">
        <w:rPr>
          <w:rFonts w:ascii="Lato" w:hAnsi="Lato" w:cs="Arial"/>
        </w:rPr>
        <w:t xml:space="preserve"> testamento p</w:t>
      </w:r>
      <w:r w:rsidR="004D4F59">
        <w:rPr>
          <w:rFonts w:ascii="Lato" w:hAnsi="Lato" w:cs="Arial"/>
        </w:rPr>
        <w:t>ú</w:t>
      </w:r>
      <w:r w:rsidRPr="004D4F59">
        <w:rPr>
          <w:rFonts w:ascii="Lato" w:hAnsi="Lato" w:cs="Arial"/>
        </w:rPr>
        <w:t>blico</w:t>
      </w:r>
      <w:r w:rsidR="004D4F59">
        <w:rPr>
          <w:rFonts w:ascii="Lato" w:hAnsi="Lato" w:cs="Arial"/>
        </w:rPr>
        <w:t xml:space="preserve"> ante la notaria cinco de esta ciudad de </w:t>
      </w:r>
      <w:r w:rsidRPr="004D4F59">
        <w:rPr>
          <w:rFonts w:ascii="Lato" w:hAnsi="Lato" w:cs="Arial"/>
        </w:rPr>
        <w:t>Mexicali, Baja California de fecha 12 de junio de 1957</w:t>
      </w:r>
      <w:r w:rsidR="002C0210" w:rsidRPr="004D4F59">
        <w:rPr>
          <w:rFonts w:ascii="Lato" w:hAnsi="Lato" w:cs="Arial"/>
        </w:rPr>
        <w:t>.</w:t>
      </w:r>
    </w:p>
    <w:p w:rsidR="006C41DA" w:rsidRPr="006C41DA" w:rsidRDefault="006C41DA" w:rsidP="00B47215">
      <w:pPr>
        <w:spacing w:before="60" w:line="360" w:lineRule="auto"/>
        <w:jc w:val="both"/>
        <w:rPr>
          <w:rFonts w:ascii="Lato" w:hAnsi="Lato" w:cs="Arial"/>
        </w:rPr>
      </w:pPr>
      <w:r w:rsidRPr="006C41DA">
        <w:rPr>
          <w:rFonts w:ascii="Lato" w:hAnsi="Lato" w:cs="Arial"/>
        </w:rPr>
        <w:t>1.2) Mediante oficio 0329/</w:t>
      </w:r>
      <w:r w:rsidR="00C80A76">
        <w:rPr>
          <w:rFonts w:ascii="Lato" w:hAnsi="Lato" w:cs="Arial"/>
        </w:rPr>
        <w:t>U</w:t>
      </w:r>
      <w:r w:rsidRPr="006C41DA">
        <w:rPr>
          <w:rFonts w:ascii="Lato" w:hAnsi="Lato" w:cs="Arial"/>
        </w:rPr>
        <w:t>T/</w:t>
      </w:r>
      <w:proofErr w:type="spellStart"/>
      <w:r w:rsidRPr="006C41DA">
        <w:rPr>
          <w:rFonts w:ascii="Lato" w:hAnsi="Lato" w:cs="Arial"/>
        </w:rPr>
        <w:t>MXL</w:t>
      </w:r>
      <w:proofErr w:type="spellEnd"/>
      <w:r w:rsidRPr="006C41DA">
        <w:rPr>
          <w:rFonts w:ascii="Lato" w:hAnsi="Lato" w:cs="Arial"/>
        </w:rPr>
        <w:t xml:space="preserve">/2019, la Unidad de </w:t>
      </w:r>
      <w:r w:rsidR="002C0210" w:rsidRPr="006C41DA">
        <w:rPr>
          <w:rFonts w:ascii="Lato" w:hAnsi="Lato" w:cs="Arial"/>
        </w:rPr>
        <w:t xml:space="preserve">Transparencia </w:t>
      </w:r>
      <w:r w:rsidRPr="006C41DA">
        <w:rPr>
          <w:rFonts w:ascii="Lato" w:hAnsi="Lato" w:cs="Arial"/>
        </w:rPr>
        <w:t xml:space="preserve">requirió de la información solicitada a </w:t>
      </w:r>
      <w:r w:rsidRPr="006C41DA">
        <w:rPr>
          <w:rFonts w:ascii="Lato" w:hAnsi="Lato" w:cs="Arial"/>
          <w:b/>
        </w:rPr>
        <w:t xml:space="preserve">la </w:t>
      </w:r>
      <w:r w:rsidR="002C0210" w:rsidRPr="006C41DA">
        <w:rPr>
          <w:rFonts w:ascii="Lato" w:hAnsi="Lato" w:cs="Arial"/>
          <w:b/>
        </w:rPr>
        <w:t xml:space="preserve">Titular </w:t>
      </w:r>
      <w:r w:rsidRPr="006C41DA">
        <w:rPr>
          <w:rFonts w:ascii="Lato" w:hAnsi="Lato" w:cs="Arial"/>
          <w:b/>
        </w:rPr>
        <w:t>del Juzgado Segundo Civil</w:t>
      </w:r>
      <w:r w:rsidRPr="006C41DA">
        <w:rPr>
          <w:rFonts w:ascii="Lato" w:hAnsi="Lato" w:cs="Arial"/>
        </w:rPr>
        <w:t xml:space="preserve"> del Partido Judicial de Mexicali, quien por oficio número 713/2019, de fecha de recibido 20 de febrero del mes próximo pasado, </w:t>
      </w:r>
      <w:r w:rsidRPr="006C41DA">
        <w:rPr>
          <w:rFonts w:ascii="Lato" w:hAnsi="Lato" w:cs="Arial"/>
          <w:b/>
        </w:rPr>
        <w:t>solicitó ampliación del plazo para dar respuesta</w:t>
      </w:r>
      <w:r w:rsidRPr="006C41DA">
        <w:rPr>
          <w:rFonts w:ascii="Lato" w:hAnsi="Lato" w:cs="Arial"/>
        </w:rPr>
        <w:t>, manifestando que se procedió a la búsqueda del expediente de interés del solicitante y se encontró anotación dentro del sistema de cómputo</w:t>
      </w:r>
      <w:r w:rsidR="00247B16">
        <w:rPr>
          <w:rFonts w:ascii="Lato" w:hAnsi="Lato" w:cs="Arial"/>
        </w:rPr>
        <w:t xml:space="preserve"> </w:t>
      </w:r>
      <w:r w:rsidRPr="006C41DA">
        <w:rPr>
          <w:rFonts w:ascii="Lato" w:hAnsi="Lato" w:cs="Arial"/>
        </w:rPr>
        <w:t>que señala haberse remitido al Archivo Judicial el 27 de noviembre de 1998 por lo que giró oficio para su localización, habiéndose informado que el sumario no se encontraba en dicho Archivo Judicial. Por otro lado, encontró anotación del año 1965, en el Libro de Gobierno de ese Juzgado de que se dictó sentencia de adjudicación el 15 de julio de ese año, y que fue remitido a la Notaría Pública número 4 de esta ciudad de Mexicali, mediante oficio 1036 del 29 de octubre de 1968 y al efecto giró oficio solicitando su devolución, por lo que requiere la ampliación del plazo para su recepción y elaboración de la versión pública correspondiente.</w:t>
      </w:r>
      <w:r w:rsidR="00247B16">
        <w:rPr>
          <w:rFonts w:ascii="Lato" w:hAnsi="Lato" w:cs="Arial"/>
        </w:rPr>
        <w:t xml:space="preserve"> </w:t>
      </w:r>
      <w:r w:rsidRPr="006C41DA">
        <w:rPr>
          <w:rFonts w:ascii="Lato" w:hAnsi="Lato" w:cs="Arial"/>
          <w:b/>
        </w:rPr>
        <w:t xml:space="preserve">Petición que se sometió a </w:t>
      </w:r>
      <w:r w:rsidRPr="006C41DA">
        <w:rPr>
          <w:rFonts w:ascii="Lato" w:hAnsi="Lato" w:cs="Arial"/>
          <w:b/>
        </w:rPr>
        <w:lastRenderedPageBreak/>
        <w:t>consideración</w:t>
      </w:r>
      <w:r w:rsidR="00247B16">
        <w:rPr>
          <w:rFonts w:ascii="Lato" w:hAnsi="Lato" w:cs="Arial"/>
          <w:b/>
        </w:rPr>
        <w:t xml:space="preserve"> </w:t>
      </w:r>
      <w:r w:rsidRPr="006C41DA">
        <w:rPr>
          <w:rFonts w:ascii="Lato" w:hAnsi="Lato" w:cs="Arial"/>
          <w:b/>
        </w:rPr>
        <w:t>del Comité</w:t>
      </w:r>
      <w:r w:rsidRPr="006C41DA">
        <w:rPr>
          <w:rFonts w:ascii="Lato" w:hAnsi="Lato" w:cs="Arial"/>
        </w:rPr>
        <w:t xml:space="preserve"> para la Transparencia, Acceso a la Información Pública y Protección de Datos Personales del Poder Judicial del Estado, en sesión extraordinaria 07/2019, de fecha 21 de febrero del presente año, cuyos integrantes acordaron aprobar dicha ampliación, </w:t>
      </w:r>
      <w:r w:rsidRPr="006C41DA">
        <w:rPr>
          <w:rFonts w:ascii="Lato" w:hAnsi="Lato" w:cs="Arial"/>
          <w:b/>
        </w:rPr>
        <w:t>a fin de que realizará una búsqueda exhaustiva de la información o bien, se declarará la inexistencia de la misma.</w:t>
      </w:r>
      <w:r w:rsidR="00247B16">
        <w:rPr>
          <w:rFonts w:ascii="Lato" w:hAnsi="Lato" w:cs="Arial"/>
        </w:rPr>
        <w:t xml:space="preserve"> </w:t>
      </w:r>
    </w:p>
    <w:p w:rsidR="006C41DA" w:rsidRPr="004D4F59" w:rsidRDefault="006C41DA" w:rsidP="00B47215">
      <w:pPr>
        <w:spacing w:before="60" w:line="360" w:lineRule="auto"/>
        <w:jc w:val="both"/>
        <w:rPr>
          <w:rFonts w:ascii="Lato" w:hAnsi="Lato" w:cs="Arial"/>
        </w:rPr>
      </w:pPr>
      <w:r w:rsidRPr="006C41DA">
        <w:rPr>
          <w:rFonts w:ascii="Lato" w:hAnsi="Lato" w:cs="Arial"/>
        </w:rPr>
        <w:t>1.3) Por oficio 1001/2019, de</w:t>
      </w:r>
      <w:r w:rsidR="00247B16">
        <w:rPr>
          <w:rFonts w:ascii="Lato" w:hAnsi="Lato" w:cs="Arial"/>
        </w:rPr>
        <w:t xml:space="preserve"> fecha</w:t>
      </w:r>
      <w:r w:rsidRPr="006C41DA">
        <w:rPr>
          <w:rFonts w:ascii="Lato" w:hAnsi="Lato" w:cs="Arial"/>
        </w:rPr>
        <w:t xml:space="preserve"> 08 de marzo del año que transcurre, la Juez Segundo </w:t>
      </w:r>
      <w:r w:rsidRPr="004D4F59">
        <w:rPr>
          <w:rFonts w:ascii="Lato" w:hAnsi="Lato" w:cs="Arial"/>
        </w:rPr>
        <w:t>Civil del Partido Judicial de Mexicali manifest</w:t>
      </w:r>
      <w:r w:rsidR="004D4F59" w:rsidRPr="004D4F59">
        <w:rPr>
          <w:rFonts w:ascii="Lato" w:hAnsi="Lato" w:cs="Arial"/>
        </w:rPr>
        <w:t xml:space="preserve">ó haber emitido un acuerdo que tiene por </w:t>
      </w:r>
      <w:r w:rsidRPr="004D4F59">
        <w:rPr>
          <w:rFonts w:ascii="Lato" w:hAnsi="Lato" w:cs="Arial"/>
        </w:rPr>
        <w:t>recibido</w:t>
      </w:r>
      <w:r w:rsidR="004D4F59" w:rsidRPr="004D4F59">
        <w:rPr>
          <w:rFonts w:ascii="Lato" w:hAnsi="Lato" w:cs="Arial"/>
        </w:rPr>
        <w:t>s</w:t>
      </w:r>
      <w:r w:rsidRPr="004D4F59">
        <w:rPr>
          <w:rFonts w:ascii="Lato" w:hAnsi="Lato" w:cs="Arial"/>
        </w:rPr>
        <w:t xml:space="preserve"> </w:t>
      </w:r>
      <w:r w:rsidR="004D4F59" w:rsidRPr="004D4F59">
        <w:rPr>
          <w:rFonts w:ascii="Lato" w:hAnsi="Lato" w:cs="Arial"/>
        </w:rPr>
        <w:t xml:space="preserve">los </w:t>
      </w:r>
      <w:r w:rsidRPr="004D4F59">
        <w:rPr>
          <w:rFonts w:ascii="Lato" w:hAnsi="Lato" w:cs="Arial"/>
        </w:rPr>
        <w:t>oficios de veintiséis de febrero del año en curso y de ocho de marzo del año en cita, suscritos por el Jefe del Archivo Judicial</w:t>
      </w:r>
      <w:r w:rsidR="004D4F59">
        <w:rPr>
          <w:rFonts w:ascii="Lato" w:hAnsi="Lato" w:cs="Arial"/>
        </w:rPr>
        <w:t>,</w:t>
      </w:r>
      <w:r w:rsidRPr="004D4F59">
        <w:rPr>
          <w:rFonts w:ascii="Lato" w:hAnsi="Lato" w:cs="Arial"/>
        </w:rPr>
        <w:t xml:space="preserve"> Mtro. César López Padilla y </w:t>
      </w:r>
      <w:proofErr w:type="spellStart"/>
      <w:r w:rsidRPr="004D4F59">
        <w:rPr>
          <w:rFonts w:ascii="Lato" w:hAnsi="Lato" w:cs="Arial"/>
        </w:rPr>
        <w:t>Keila</w:t>
      </w:r>
      <w:proofErr w:type="spellEnd"/>
      <w:r w:rsidRPr="004D4F59">
        <w:rPr>
          <w:rFonts w:ascii="Lato" w:hAnsi="Lato" w:cs="Arial"/>
        </w:rPr>
        <w:t xml:space="preserve"> </w:t>
      </w:r>
      <w:proofErr w:type="spellStart"/>
      <w:r w:rsidRPr="004D4F59">
        <w:rPr>
          <w:rFonts w:ascii="Lato" w:hAnsi="Lato" w:cs="Arial"/>
        </w:rPr>
        <w:t>Llorenz</w:t>
      </w:r>
      <w:proofErr w:type="spellEnd"/>
      <w:r w:rsidRPr="004D4F59">
        <w:rPr>
          <w:rFonts w:ascii="Lato" w:hAnsi="Lato" w:cs="Arial"/>
        </w:rPr>
        <w:t xml:space="preserve"> Vivo</w:t>
      </w:r>
      <w:r w:rsidR="004D4F59">
        <w:rPr>
          <w:rFonts w:ascii="Lato" w:hAnsi="Lato" w:cs="Arial"/>
        </w:rPr>
        <w:t>,</w:t>
      </w:r>
      <w:r w:rsidRPr="004D4F59">
        <w:rPr>
          <w:rFonts w:ascii="Lato" w:hAnsi="Lato" w:cs="Arial"/>
        </w:rPr>
        <w:t xml:space="preserve"> Directora del Archivo General de Notarías, mediante los cuales </w:t>
      </w:r>
      <w:r w:rsidR="004D4F59">
        <w:rPr>
          <w:rFonts w:ascii="Lato" w:hAnsi="Lato" w:cs="Arial"/>
        </w:rPr>
        <w:t xml:space="preserve">le </w:t>
      </w:r>
      <w:r w:rsidRPr="004D4F59">
        <w:rPr>
          <w:rFonts w:ascii="Lato" w:hAnsi="Lato" w:cs="Arial"/>
        </w:rPr>
        <w:t xml:space="preserve">informa el primero </w:t>
      </w:r>
      <w:r w:rsidR="004D4F59">
        <w:rPr>
          <w:rFonts w:ascii="Lato" w:hAnsi="Lato" w:cs="Arial"/>
        </w:rPr>
        <w:t xml:space="preserve">de los mencionados, </w:t>
      </w:r>
      <w:r w:rsidRPr="004D4F59">
        <w:rPr>
          <w:rFonts w:ascii="Lato" w:hAnsi="Lato" w:cs="Arial"/>
        </w:rPr>
        <w:t xml:space="preserve">que el cuadernillo enviado el veintiuno de enero del año en curso, es el único </w:t>
      </w:r>
      <w:r w:rsidR="004D4F59">
        <w:rPr>
          <w:rFonts w:ascii="Lato" w:hAnsi="Lato" w:cs="Arial"/>
        </w:rPr>
        <w:t>que se encuentra</w:t>
      </w:r>
      <w:r w:rsidRPr="004D4F59">
        <w:rPr>
          <w:rFonts w:ascii="Lato" w:hAnsi="Lato" w:cs="Arial"/>
        </w:rPr>
        <w:t xml:space="preserve"> en custodia</w:t>
      </w:r>
      <w:r w:rsidR="004D4F59">
        <w:rPr>
          <w:rFonts w:ascii="Lato" w:hAnsi="Lato" w:cs="Arial"/>
        </w:rPr>
        <w:t xml:space="preserve"> del área de referencia y agrega que p</w:t>
      </w:r>
      <w:r w:rsidRPr="004D4F59">
        <w:rPr>
          <w:rFonts w:ascii="Lato" w:hAnsi="Lato" w:cs="Arial"/>
        </w:rPr>
        <w:t>or lo que hace al Archivo General de Notarías</w:t>
      </w:r>
      <w:r w:rsidR="004D4F59">
        <w:rPr>
          <w:rFonts w:ascii="Lato" w:hAnsi="Lato" w:cs="Arial"/>
        </w:rPr>
        <w:t>, se le</w:t>
      </w:r>
      <w:r w:rsidRPr="004D4F59">
        <w:rPr>
          <w:rFonts w:ascii="Lato" w:hAnsi="Lato" w:cs="Arial"/>
        </w:rPr>
        <w:t xml:space="preserve"> informó que una vez realizada la búsqueda exhaustiva en la </w:t>
      </w:r>
      <w:r w:rsidR="004D4F59">
        <w:rPr>
          <w:rFonts w:ascii="Lato" w:hAnsi="Lato" w:cs="Arial"/>
        </w:rPr>
        <w:t>c</w:t>
      </w:r>
      <w:r w:rsidRPr="004D4F59">
        <w:rPr>
          <w:rFonts w:ascii="Lato" w:hAnsi="Lato" w:cs="Arial"/>
        </w:rPr>
        <w:t>arpeta de la Notaría Pública número cuatro no se encontró registro alguno del expediente 797/19</w:t>
      </w:r>
      <w:r w:rsidR="00247B16" w:rsidRPr="004D4F59">
        <w:rPr>
          <w:rFonts w:ascii="Lato" w:hAnsi="Lato" w:cs="Arial"/>
        </w:rPr>
        <w:t>6</w:t>
      </w:r>
      <w:r w:rsidRPr="004D4F59">
        <w:rPr>
          <w:rFonts w:ascii="Lato" w:hAnsi="Lato" w:cs="Arial"/>
        </w:rPr>
        <w:t xml:space="preserve">5 del Juzgado Segundo Civil relativo al juicio sucesorio </w:t>
      </w:r>
      <w:r w:rsidR="004D4F59">
        <w:rPr>
          <w:rFonts w:ascii="Lato" w:hAnsi="Lato" w:cs="Arial"/>
        </w:rPr>
        <w:t>de interés del peticionario</w:t>
      </w:r>
      <w:r w:rsidRPr="004D4F59">
        <w:rPr>
          <w:rFonts w:ascii="Lato" w:hAnsi="Lato" w:cs="Arial"/>
        </w:rPr>
        <w:t xml:space="preserve">. </w:t>
      </w:r>
      <w:r w:rsidR="004D4F59">
        <w:rPr>
          <w:rFonts w:ascii="Lato" w:hAnsi="Lato" w:cs="Arial"/>
        </w:rPr>
        <w:t>Por lo que e</w:t>
      </w:r>
      <w:r w:rsidRPr="004D4F59">
        <w:rPr>
          <w:rFonts w:ascii="Lato" w:hAnsi="Lato" w:cs="Arial"/>
        </w:rPr>
        <w:t xml:space="preserve">n mérito de lo cual la </w:t>
      </w:r>
      <w:r w:rsidR="004D4F59">
        <w:rPr>
          <w:rFonts w:ascii="Lato" w:hAnsi="Lato" w:cs="Arial"/>
        </w:rPr>
        <w:t>juzgadora</w:t>
      </w:r>
      <w:r w:rsidRPr="004D4F59">
        <w:rPr>
          <w:rFonts w:ascii="Lato" w:hAnsi="Lato" w:cs="Arial"/>
        </w:rPr>
        <w:t xml:space="preserve"> en cumplimiento al artículo 70 del Código de Procedimientos Civiles inició el procedimiento respectivo para la reposición de los autos citados</w:t>
      </w:r>
      <w:r w:rsidR="00B47215">
        <w:rPr>
          <w:rFonts w:ascii="Lato" w:hAnsi="Lato" w:cs="Arial"/>
        </w:rPr>
        <w:t>, por lo que se vio en</w:t>
      </w:r>
      <w:r w:rsidRPr="004D4F59">
        <w:rPr>
          <w:rFonts w:ascii="Lato" w:hAnsi="Lato" w:cs="Arial"/>
        </w:rPr>
        <w:t xml:space="preserve"> la imposibilidad de rendir información solicitada</w:t>
      </w:r>
      <w:r w:rsidR="00B47215">
        <w:rPr>
          <w:rFonts w:ascii="Lato" w:hAnsi="Lato" w:cs="Arial"/>
        </w:rPr>
        <w:t xml:space="preserve"> y ordenó remitir</w:t>
      </w:r>
      <w:r w:rsidRPr="004D4F59">
        <w:rPr>
          <w:rFonts w:ascii="Lato" w:hAnsi="Lato" w:cs="Arial"/>
        </w:rPr>
        <w:t xml:space="preserve"> a </w:t>
      </w:r>
      <w:r w:rsidR="00B47215">
        <w:rPr>
          <w:rFonts w:ascii="Lato" w:hAnsi="Lato" w:cs="Arial"/>
        </w:rPr>
        <w:t xml:space="preserve">la </w:t>
      </w:r>
      <w:r w:rsidRPr="004D4F59">
        <w:rPr>
          <w:rFonts w:ascii="Lato" w:hAnsi="Lato" w:cs="Arial"/>
        </w:rPr>
        <w:t xml:space="preserve">Unidad de Transparencia copias de las respuestas </w:t>
      </w:r>
      <w:r w:rsidR="00B47215">
        <w:rPr>
          <w:rFonts w:ascii="Lato" w:hAnsi="Lato" w:cs="Arial"/>
        </w:rPr>
        <w:t>d</w:t>
      </w:r>
      <w:r w:rsidRPr="004D4F59">
        <w:rPr>
          <w:rFonts w:ascii="Lato" w:hAnsi="Lato" w:cs="Arial"/>
        </w:rPr>
        <w:t xml:space="preserve">el Archivo Judicial, Notaría Pública Número </w:t>
      </w:r>
      <w:r w:rsidR="00B47215">
        <w:rPr>
          <w:rFonts w:ascii="Lato" w:hAnsi="Lato" w:cs="Arial"/>
        </w:rPr>
        <w:t>C</w:t>
      </w:r>
      <w:r w:rsidRPr="004D4F59">
        <w:rPr>
          <w:rFonts w:ascii="Lato" w:hAnsi="Lato" w:cs="Arial"/>
        </w:rPr>
        <w:t xml:space="preserve">uatro y Archivo General de Notarías, así como del auto mediante el cual </w:t>
      </w:r>
      <w:r w:rsidR="00B47215">
        <w:rPr>
          <w:rFonts w:ascii="Lato" w:hAnsi="Lato" w:cs="Arial"/>
        </w:rPr>
        <w:t xml:space="preserve">se inicia </w:t>
      </w:r>
      <w:r w:rsidRPr="004D4F59">
        <w:rPr>
          <w:rFonts w:ascii="Lato" w:hAnsi="Lato" w:cs="Arial"/>
        </w:rPr>
        <w:t xml:space="preserve">el procedimiento para la reposición </w:t>
      </w:r>
      <w:r w:rsidR="00B47215">
        <w:rPr>
          <w:rFonts w:ascii="Lato" w:hAnsi="Lato" w:cs="Arial"/>
        </w:rPr>
        <w:t>correspondiente.</w:t>
      </w:r>
    </w:p>
    <w:p w:rsidR="006C41DA" w:rsidRPr="00247B16" w:rsidRDefault="006C41DA" w:rsidP="00247B16">
      <w:pPr>
        <w:spacing w:line="360" w:lineRule="auto"/>
        <w:jc w:val="both"/>
        <w:rPr>
          <w:rFonts w:ascii="Lato" w:hAnsi="Lato" w:cs="Arial"/>
          <w:b/>
          <w:sz w:val="16"/>
        </w:rPr>
      </w:pPr>
      <w:r w:rsidRPr="00247B16">
        <w:rPr>
          <w:rFonts w:ascii="Lato" w:hAnsi="Lato" w:cs="Arial"/>
          <w:b/>
          <w:sz w:val="16"/>
        </w:rPr>
        <w:tab/>
      </w:r>
    </w:p>
    <w:p w:rsidR="006C41DA" w:rsidRPr="006C41DA" w:rsidRDefault="006C41DA" w:rsidP="006C41DA">
      <w:pPr>
        <w:spacing w:line="360" w:lineRule="auto"/>
        <w:jc w:val="both"/>
        <w:rPr>
          <w:rFonts w:ascii="Lato" w:hAnsi="Lato" w:cs="Arial"/>
          <w:u w:val="single"/>
        </w:rPr>
      </w:pPr>
      <w:r>
        <w:rPr>
          <w:rFonts w:ascii="Lato" w:hAnsi="Lato" w:cs="Arial"/>
        </w:rPr>
        <w:t xml:space="preserve">2) </w:t>
      </w:r>
      <w:r w:rsidRPr="006C41DA">
        <w:rPr>
          <w:rFonts w:ascii="Lato" w:hAnsi="Lato" w:cs="Arial"/>
        </w:rPr>
        <w:t>En virtud de lo anterior, los integrantes de este Comité,</w:t>
      </w:r>
      <w:r w:rsidRPr="006C41DA">
        <w:rPr>
          <w:rFonts w:ascii="Lato" w:hAnsi="Lato" w:cs="Arial"/>
          <w:b/>
        </w:rPr>
        <w:t xml:space="preserve"> con la función conferida </w:t>
      </w:r>
      <w:r w:rsidRPr="006C41DA">
        <w:rPr>
          <w:rFonts w:ascii="Lato" w:hAnsi="Lato" w:cs="Arial"/>
        </w:rPr>
        <w:t>a este organismo</w:t>
      </w:r>
      <w:r w:rsidRPr="006C41DA">
        <w:rPr>
          <w:rFonts w:ascii="Lato" w:hAnsi="Lato" w:cs="Arial"/>
          <w:b/>
        </w:rPr>
        <w:t xml:space="preserve"> en la fracción II del artículo 54</w:t>
      </w:r>
      <w:r w:rsidRPr="006C41DA">
        <w:rPr>
          <w:rFonts w:ascii="Lato" w:hAnsi="Lato" w:cs="Arial"/>
        </w:rPr>
        <w:t xml:space="preserve"> de la Ley de Transparencia y Acceso a la Información Pública para el Estado de Baja California, que dice: </w:t>
      </w:r>
      <w:r w:rsidRPr="006C41DA">
        <w:rPr>
          <w:rFonts w:ascii="Lato" w:hAnsi="Lato" w:cs="Arial"/>
          <w:b/>
          <w:i/>
        </w:rPr>
        <w:t>“II.- Confirmar, modificar o revocar las determinaciones</w:t>
      </w:r>
      <w:r w:rsidRPr="006C41DA">
        <w:rPr>
          <w:rFonts w:ascii="Lato" w:hAnsi="Lato" w:cs="Arial"/>
          <w:i/>
        </w:rPr>
        <w:t xml:space="preserve"> que en materia de ampliación del plazo de respuesta, clasificación de la información</w:t>
      </w:r>
      <w:r w:rsidRPr="006C41DA">
        <w:rPr>
          <w:rFonts w:ascii="Lato" w:hAnsi="Lato" w:cs="Arial"/>
          <w:b/>
          <w:i/>
        </w:rPr>
        <w:t xml:space="preserve"> y la declaración de inexistencia</w:t>
      </w:r>
      <w:r w:rsidRPr="006C41DA">
        <w:rPr>
          <w:rFonts w:ascii="Lato" w:hAnsi="Lato" w:cs="Arial"/>
          <w:i/>
        </w:rPr>
        <w:t xml:space="preserve"> o de incompetencia realicen los titulares de las Áreas de los sujetos obligados”, </w:t>
      </w:r>
      <w:r w:rsidRPr="006C41DA">
        <w:rPr>
          <w:rFonts w:ascii="Lato" w:hAnsi="Lato" w:cs="Arial"/>
        </w:rPr>
        <w:t xml:space="preserve">y fundado también en las fracciones I y II del artículo 131 y en el diverso precepto normativo 132 de la Ley de la materia que señalan </w:t>
      </w:r>
      <w:r w:rsidRPr="006C41DA">
        <w:rPr>
          <w:rFonts w:ascii="Lato" w:hAnsi="Lato" w:cs="Arial"/>
        </w:rPr>
        <w:lastRenderedPageBreak/>
        <w:t xml:space="preserve">que cuando la información no se encuentre en los archivos del sujeto obligado, en este asunto bajo la responsabilidad de la Titular del Juzgado Segundo Civil, previo análisis del caso, el Comité expedirá una resolución que confirme la inexistencia del documento, por lo cual </w:t>
      </w:r>
      <w:r w:rsidRPr="006C41DA">
        <w:rPr>
          <w:rFonts w:ascii="Lato" w:hAnsi="Lato" w:cs="Arial"/>
          <w:u w:val="single"/>
        </w:rPr>
        <w:t>se procede al análisis del</w:t>
      </w:r>
      <w:r w:rsidRPr="00247B16">
        <w:rPr>
          <w:rFonts w:ascii="Lato" w:hAnsi="Lato" w:cs="Arial"/>
          <w:u w:val="single"/>
        </w:rPr>
        <w:t xml:space="preserve"> </w:t>
      </w:r>
      <w:r w:rsidRPr="006C41DA">
        <w:rPr>
          <w:rFonts w:ascii="Lato" w:hAnsi="Lato" w:cs="Arial"/>
          <w:u w:val="single"/>
        </w:rPr>
        <w:t>acto que declara o considera la inexistencia de la información de interés del solicitante</w:t>
      </w:r>
      <w:r w:rsidRPr="006C41DA">
        <w:rPr>
          <w:rFonts w:ascii="Lato" w:hAnsi="Lato" w:cs="Arial"/>
        </w:rPr>
        <w:t>, realizado por la Juez Segundo Civil, atendiendo también a lo establecido por el artículo 155 del Reglamento de la Ley de Transparencia y Acceso a la Información Pública para el Estado de Baja California, por tratarse de una solicitud en la que</w:t>
      </w:r>
      <w:r w:rsidR="00247B16">
        <w:rPr>
          <w:rFonts w:ascii="Lato" w:hAnsi="Lato" w:cs="Arial"/>
        </w:rPr>
        <w:t xml:space="preserve"> </w:t>
      </w:r>
      <w:r w:rsidRPr="006C41DA">
        <w:rPr>
          <w:rFonts w:ascii="Lato" w:hAnsi="Lato" w:cs="Arial"/>
        </w:rPr>
        <w:t xml:space="preserve">no se encontró parte de la información requerida. </w:t>
      </w:r>
      <w:r w:rsidR="00247B16" w:rsidRPr="006C41DA">
        <w:rPr>
          <w:rFonts w:ascii="Lato" w:hAnsi="Lato" w:cs="Arial"/>
        </w:rPr>
        <w:t>Así</w:t>
      </w:r>
      <w:r w:rsidRPr="006C41DA">
        <w:rPr>
          <w:rFonts w:ascii="Lato" w:hAnsi="Lato" w:cs="Arial"/>
        </w:rPr>
        <w:t xml:space="preserve"> las cosas, hecho lo anterior</w:t>
      </w:r>
      <w:r w:rsidRPr="006C41DA">
        <w:rPr>
          <w:rFonts w:ascii="Lato" w:hAnsi="Lato" w:cs="Arial"/>
          <w:b/>
        </w:rPr>
        <w:t xml:space="preserve"> se determina que es de confirmar la declaración de inexistencia del expediente número 797/1965, relativo al Juicio Sucesorio Testamentario </w:t>
      </w:r>
      <w:r w:rsidR="00B47215">
        <w:rPr>
          <w:rFonts w:ascii="Lato" w:hAnsi="Lato" w:cs="Arial"/>
          <w:b/>
        </w:rPr>
        <w:t>que nos ocupa</w:t>
      </w:r>
      <w:r w:rsidRPr="006C41DA">
        <w:rPr>
          <w:rFonts w:ascii="Lato" w:hAnsi="Lato" w:cs="Arial"/>
          <w:b/>
        </w:rPr>
        <w:t>,</w:t>
      </w:r>
      <w:r w:rsidR="00247B16">
        <w:rPr>
          <w:rFonts w:ascii="Lato" w:hAnsi="Lato" w:cs="Arial"/>
          <w:b/>
        </w:rPr>
        <w:t xml:space="preserve"> </w:t>
      </w:r>
      <w:r w:rsidRPr="006C41DA">
        <w:rPr>
          <w:rFonts w:ascii="Lato" w:hAnsi="Lato" w:cs="Arial"/>
          <w:b/>
        </w:rPr>
        <w:t xml:space="preserve">lo anterior </w:t>
      </w:r>
      <w:r w:rsidRPr="006C41DA">
        <w:rPr>
          <w:rFonts w:ascii="Lato" w:hAnsi="Lato" w:cs="Arial"/>
          <w:u w:val="single"/>
        </w:rPr>
        <w:t>CONSIDERANDO QUE</w:t>
      </w:r>
      <w:r w:rsidRPr="006C41DA">
        <w:rPr>
          <w:rFonts w:ascii="Lato" w:hAnsi="Lato" w:cs="Arial"/>
        </w:rPr>
        <w:t>:</w:t>
      </w:r>
      <w:r w:rsidRPr="006C41DA">
        <w:rPr>
          <w:rFonts w:ascii="Lato" w:hAnsi="Lato" w:cs="Arial"/>
          <w:u w:val="single"/>
        </w:rPr>
        <w:t xml:space="preserve"> </w:t>
      </w:r>
    </w:p>
    <w:p w:rsidR="006C41DA" w:rsidRPr="006C41DA" w:rsidRDefault="006C41DA" w:rsidP="00B47215">
      <w:pPr>
        <w:spacing w:before="60" w:line="360" w:lineRule="auto"/>
        <w:jc w:val="both"/>
        <w:rPr>
          <w:rFonts w:ascii="Lato" w:hAnsi="Lato" w:cs="Arial"/>
        </w:rPr>
      </w:pPr>
      <w:r>
        <w:rPr>
          <w:rFonts w:ascii="Lato" w:hAnsi="Lato" w:cs="Arial"/>
        </w:rPr>
        <w:t xml:space="preserve">2.1) </w:t>
      </w:r>
      <w:r w:rsidRPr="006C41DA">
        <w:rPr>
          <w:rFonts w:ascii="Lato" w:hAnsi="Lato" w:cs="Arial"/>
        </w:rPr>
        <w:t>La Titular del Juzgado Segundo realizó una búsqueda exhaustiva de la información requerida, girando para ello oficios a</w:t>
      </w:r>
      <w:r w:rsidR="00247B16">
        <w:rPr>
          <w:rFonts w:ascii="Lato" w:hAnsi="Lato" w:cs="Arial"/>
        </w:rPr>
        <w:t>l</w:t>
      </w:r>
      <w:r w:rsidRPr="006C41DA">
        <w:rPr>
          <w:rFonts w:ascii="Lato" w:hAnsi="Lato" w:cs="Arial"/>
        </w:rPr>
        <w:t xml:space="preserve"> Jefe del Archivo Judicial y a la Notaría Pública Número Cuatro,</w:t>
      </w:r>
      <w:r w:rsidR="00247B16">
        <w:rPr>
          <w:rFonts w:ascii="Lato" w:hAnsi="Lato" w:cs="Arial"/>
        </w:rPr>
        <w:t xml:space="preserve"> </w:t>
      </w:r>
      <w:r w:rsidRPr="006C41DA">
        <w:rPr>
          <w:rFonts w:ascii="Lato" w:hAnsi="Lato" w:cs="Arial"/>
        </w:rPr>
        <w:t xml:space="preserve">quienes informaron que no se encontró </w:t>
      </w:r>
      <w:r w:rsidRPr="00C80A76">
        <w:rPr>
          <w:rFonts w:ascii="Lato" w:hAnsi="Lato" w:cs="Arial"/>
        </w:rPr>
        <w:t>el sumario de mérito</w:t>
      </w:r>
      <w:r w:rsidR="00B47215">
        <w:rPr>
          <w:rFonts w:ascii="Lato" w:hAnsi="Lato" w:cs="Arial"/>
        </w:rPr>
        <w:t xml:space="preserve"> ni registro del mismo</w:t>
      </w:r>
      <w:r w:rsidRPr="006C41DA">
        <w:rPr>
          <w:rFonts w:ascii="Lato" w:hAnsi="Lato" w:cs="Arial"/>
        </w:rPr>
        <w:t xml:space="preserve">. </w:t>
      </w:r>
      <w:r w:rsidRPr="006C41DA">
        <w:rPr>
          <w:rFonts w:ascii="Lato" w:hAnsi="Lato" w:cs="Arial"/>
          <w:b/>
        </w:rPr>
        <w:t>Para justificar la inexistencia, nos hace llegar, copias simples de los oficios de los titulares de las dependencias donde ordenó practicar la búsqueda del expediente y del auto mediante el cual da inicio al procedimiento para la reposición de los autos del mismo.</w:t>
      </w:r>
      <w:r w:rsidRPr="006C41DA">
        <w:rPr>
          <w:rFonts w:ascii="Lato" w:hAnsi="Lato" w:cs="Arial"/>
        </w:rPr>
        <w:t xml:space="preserve"> </w:t>
      </w:r>
    </w:p>
    <w:p w:rsidR="006C41DA" w:rsidRPr="006C41DA" w:rsidRDefault="006C41DA" w:rsidP="00B47215">
      <w:pPr>
        <w:spacing w:before="60" w:line="360" w:lineRule="auto"/>
        <w:jc w:val="both"/>
        <w:rPr>
          <w:rFonts w:ascii="Lato" w:hAnsi="Lato" w:cs="Arial"/>
        </w:rPr>
      </w:pPr>
      <w:r>
        <w:rPr>
          <w:rFonts w:ascii="Lato" w:eastAsiaTheme="minorHAnsi" w:hAnsi="Lato" w:cs="Arial"/>
          <w:lang w:eastAsia="en-US"/>
        </w:rPr>
        <w:t xml:space="preserve">2.2) </w:t>
      </w:r>
      <w:r w:rsidRPr="006C41DA">
        <w:rPr>
          <w:rFonts w:ascii="Lato" w:hAnsi="Lato" w:cs="Arial"/>
        </w:rPr>
        <w:t>En virtud de lo anterior y habiéndose colmado los supuestos establecidos en las fracciones I, II, y III del artículo 131, de la Ley especial de la materia, esencialmente por haberse hecho una búsqueda exhaustiva y razonable del expediente 797/1965, del índice del Ju</w:t>
      </w:r>
      <w:r w:rsidR="00247B16">
        <w:rPr>
          <w:rFonts w:ascii="Lato" w:hAnsi="Lato" w:cs="Arial"/>
        </w:rPr>
        <w:t xml:space="preserve">zgado Segundo Civil </w:t>
      </w:r>
      <w:r w:rsidRPr="006C41DA">
        <w:rPr>
          <w:rFonts w:ascii="Lato" w:hAnsi="Lato" w:cs="Arial"/>
        </w:rPr>
        <w:t xml:space="preserve">del Partido Judicial de Mexicali y que </w:t>
      </w:r>
      <w:r w:rsidRPr="006C41DA">
        <w:rPr>
          <w:rFonts w:ascii="Lato" w:hAnsi="Lato" w:cs="Arial"/>
          <w:b/>
        </w:rPr>
        <w:t>la titular del mismo, ha iniciado el procedimiento legal establecido en el artículo 70 del Código de Procedimientos Civiles para su reposición,</w:t>
      </w:r>
      <w:r w:rsidR="00247B16">
        <w:rPr>
          <w:rFonts w:ascii="Lato" w:hAnsi="Lato" w:cs="Arial"/>
        </w:rPr>
        <w:t xml:space="preserve"> </w:t>
      </w:r>
      <w:r w:rsidRPr="006C41DA">
        <w:rPr>
          <w:rFonts w:ascii="Lato" w:hAnsi="Lato" w:cs="Arial"/>
          <w:b/>
          <w:u w:val="single"/>
        </w:rPr>
        <w:t>es de confirmarse la inexistencia</w:t>
      </w:r>
      <w:r w:rsidRPr="006C41DA">
        <w:rPr>
          <w:rFonts w:ascii="Lato" w:hAnsi="Lato" w:cs="Arial"/>
          <w:b/>
        </w:rPr>
        <w:t xml:space="preserve"> de tal documento jurisdiccional, </w:t>
      </w:r>
      <w:r w:rsidRPr="006C41DA">
        <w:rPr>
          <w:rFonts w:ascii="Lato" w:hAnsi="Lato" w:cs="Arial"/>
        </w:rPr>
        <w:t>como lo exige la fracción II del artículo 54 de la Ley de la Materia.</w:t>
      </w:r>
    </w:p>
    <w:p w:rsidR="006C41DA" w:rsidRPr="00B47215" w:rsidRDefault="006C41DA" w:rsidP="006C41DA">
      <w:pPr>
        <w:spacing w:line="360" w:lineRule="auto"/>
        <w:jc w:val="both"/>
        <w:rPr>
          <w:rFonts w:ascii="Lato" w:hAnsi="Lato" w:cs="Arial"/>
          <w:sz w:val="6"/>
        </w:rPr>
      </w:pPr>
    </w:p>
    <w:p w:rsidR="006C41DA" w:rsidRPr="006C41DA" w:rsidRDefault="006C41DA" w:rsidP="006C41DA">
      <w:pPr>
        <w:spacing w:line="360" w:lineRule="auto"/>
        <w:jc w:val="both"/>
        <w:rPr>
          <w:rFonts w:ascii="Lato" w:hAnsi="Lato" w:cs="Arial"/>
          <w:b/>
        </w:rPr>
      </w:pPr>
      <w:r>
        <w:rPr>
          <w:rFonts w:ascii="Lato" w:hAnsi="Lato" w:cs="Arial"/>
        </w:rPr>
        <w:t xml:space="preserve">3) </w:t>
      </w:r>
      <w:r w:rsidRPr="006C41DA">
        <w:rPr>
          <w:rFonts w:ascii="Lato" w:hAnsi="Lato" w:cs="Arial"/>
        </w:rPr>
        <w:t>Consecuentemente, los integrantes del Comité,</w:t>
      </w:r>
      <w:r w:rsidRPr="006C41DA">
        <w:rPr>
          <w:rFonts w:ascii="Lato" w:hAnsi="Lato" w:cs="Arial"/>
          <w:b/>
        </w:rPr>
        <w:t xml:space="preserve"> ACUERDAN: Se confirma la declaración de inexistencia pronunciada por la Juez Segundo Civil del Partido Judicial de Mexicali, Baja California, con respecto al expediente</w:t>
      </w:r>
      <w:r w:rsidR="00247B16">
        <w:rPr>
          <w:rFonts w:ascii="Lato" w:hAnsi="Lato" w:cs="Arial"/>
          <w:b/>
        </w:rPr>
        <w:t xml:space="preserve"> </w:t>
      </w:r>
      <w:r w:rsidRPr="006C41DA">
        <w:rPr>
          <w:rFonts w:ascii="Lato" w:hAnsi="Lato" w:cs="Arial"/>
        </w:rPr>
        <w:t>797/1965, del índice de dicho Juzgado</w:t>
      </w:r>
      <w:r>
        <w:rPr>
          <w:rFonts w:ascii="Lato" w:hAnsi="Lato" w:cs="Arial"/>
        </w:rPr>
        <w:t>.</w:t>
      </w:r>
    </w:p>
    <w:p w:rsidR="006C41DA" w:rsidRPr="006C41DA" w:rsidRDefault="006C41DA" w:rsidP="006C41DA">
      <w:pPr>
        <w:spacing w:line="360" w:lineRule="auto"/>
        <w:jc w:val="both"/>
        <w:rPr>
          <w:rFonts w:ascii="Lato" w:hAnsi="Lato" w:cs="Arial"/>
        </w:rPr>
      </w:pPr>
      <w:r w:rsidRPr="006C41DA">
        <w:rPr>
          <w:rFonts w:ascii="Lato" w:hAnsi="Lato" w:cs="Arial"/>
          <w:b/>
        </w:rPr>
        <w:lastRenderedPageBreak/>
        <w:t xml:space="preserve">Notifíquese </w:t>
      </w:r>
      <w:r w:rsidRPr="006C41DA">
        <w:rPr>
          <w:rFonts w:ascii="Lato" w:hAnsi="Lato" w:cs="Arial"/>
        </w:rPr>
        <w:t xml:space="preserve">y entréguese copia de esta acta al solicitante, por conducto de la Unidad de Transparencia, junto con copia de la respuesta. Igualmente lo anterior deberá notificarse vía correo electrónico, por conducto de la Unidad de Transparencia, a la autoridad competente mencionada, para su </w:t>
      </w:r>
      <w:r w:rsidRPr="00C80A76">
        <w:rPr>
          <w:rFonts w:ascii="Lato" w:hAnsi="Lato" w:cs="Arial"/>
        </w:rPr>
        <w:t>conocimiento</w:t>
      </w:r>
      <w:r w:rsidR="00247B16" w:rsidRPr="00C80A76">
        <w:rPr>
          <w:rFonts w:ascii="Lato" w:hAnsi="Lato" w:cs="Arial"/>
        </w:rPr>
        <w:t xml:space="preserve">, </w:t>
      </w:r>
      <w:r w:rsidRPr="00C80A76">
        <w:rPr>
          <w:rFonts w:ascii="Lato" w:hAnsi="Lato" w:cs="Arial"/>
        </w:rPr>
        <w:t>fines</w:t>
      </w:r>
      <w:r w:rsidRPr="006C41DA">
        <w:rPr>
          <w:rFonts w:ascii="Lato" w:hAnsi="Lato" w:cs="Arial"/>
        </w:rPr>
        <w:t xml:space="preserve"> y efectos legales que correspondan. </w:t>
      </w:r>
    </w:p>
    <w:p w:rsidR="006C41DA" w:rsidRPr="00247B16" w:rsidRDefault="006C41DA" w:rsidP="006C41DA">
      <w:pPr>
        <w:spacing w:line="360" w:lineRule="auto"/>
        <w:jc w:val="both"/>
        <w:rPr>
          <w:rFonts w:ascii="Lato" w:hAnsi="Lato" w:cs="Arial"/>
          <w:sz w:val="16"/>
        </w:rPr>
      </w:pPr>
    </w:p>
    <w:p w:rsidR="006C41DA" w:rsidRPr="006C41DA" w:rsidRDefault="006C41DA" w:rsidP="006C41DA">
      <w:pPr>
        <w:spacing w:line="360" w:lineRule="auto"/>
        <w:jc w:val="both"/>
        <w:rPr>
          <w:rFonts w:ascii="Lato" w:hAnsi="Lato" w:cs="Arial"/>
        </w:rPr>
      </w:pPr>
      <w:r w:rsidRPr="006C41DA">
        <w:rPr>
          <w:rFonts w:ascii="Lato" w:hAnsi="Lato" w:cs="Arial"/>
        </w:rPr>
        <w:t>Sin otro asunto que tratar, se cierra esta sesión, siendo las catorce horas del día doce de marzo</w:t>
      </w:r>
      <w:r w:rsidR="00247B16">
        <w:rPr>
          <w:rFonts w:ascii="Lato" w:hAnsi="Lato" w:cs="Arial"/>
        </w:rPr>
        <w:t xml:space="preserve"> </w:t>
      </w:r>
      <w:r w:rsidRPr="006C41DA">
        <w:rPr>
          <w:rFonts w:ascii="Lato" w:hAnsi="Lato" w:cs="Arial"/>
        </w:rPr>
        <w:t>de 2019.</w:t>
      </w: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247B16" w:rsidRDefault="00247B16" w:rsidP="00247B1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13" w:rsidRDefault="00B04413" w:rsidP="00CC10D2">
      <w:r>
        <w:separator/>
      </w:r>
    </w:p>
  </w:endnote>
  <w:endnote w:type="continuationSeparator" w:id="0">
    <w:p w:rsidR="00B04413" w:rsidRDefault="00B0441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C41DA">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D8738B">
            <w:rPr>
              <w:rFonts w:ascii="Lato" w:hAnsi="Lato" w:cs="Arial"/>
            </w:rPr>
            <w:t>1</w:t>
          </w:r>
          <w:r w:rsidR="006C41DA">
            <w:rPr>
              <w:rFonts w:ascii="Lato" w:hAnsi="Lato" w:cs="Arial"/>
            </w:rPr>
            <w:t>2</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05266A">
            <w:rPr>
              <w:rFonts w:ascii="Lato" w:hAnsi="Lato" w:cs="Arial"/>
              <w:noProof/>
            </w:rPr>
            <w:t>6</w:t>
          </w:r>
          <w:r w:rsidR="00680166" w:rsidRPr="00DA524A">
            <w:rPr>
              <w:rFonts w:ascii="Lato" w:hAnsi="Lato" w:cs="Arial"/>
            </w:rPr>
            <w:fldChar w:fldCharType="end"/>
          </w:r>
          <w:r w:rsidRPr="00DA524A">
            <w:rPr>
              <w:rFonts w:ascii="Lato" w:hAnsi="Lato" w:cs="Arial"/>
            </w:rPr>
            <w:t xml:space="preserve"> de </w:t>
          </w:r>
          <w:fldSimple w:instr=" NUMPAGES   \* MERGEFORMAT ">
            <w:r w:rsidR="0005266A" w:rsidRPr="0005266A">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C41DA">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52702D">
            <w:rPr>
              <w:rFonts w:ascii="Lato" w:hAnsi="Lato" w:cs="Arial"/>
            </w:rPr>
            <w:t>1</w:t>
          </w:r>
          <w:r w:rsidR="006C41DA">
            <w:rPr>
              <w:rFonts w:ascii="Lato" w:hAnsi="Lato" w:cs="Arial"/>
            </w:rPr>
            <w:t>2</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664789">
            <w:rPr>
              <w:rFonts w:ascii="Lato" w:hAnsi="Lato" w:cs="Arial"/>
              <w:noProof/>
            </w:rPr>
            <w:t>1</w:t>
          </w:r>
          <w:r w:rsidR="00680166" w:rsidRPr="00DA524A">
            <w:rPr>
              <w:rFonts w:ascii="Lato" w:hAnsi="Lato" w:cs="Arial"/>
            </w:rPr>
            <w:fldChar w:fldCharType="end"/>
          </w:r>
          <w:r w:rsidRPr="00DA524A">
            <w:rPr>
              <w:rFonts w:ascii="Lato" w:hAnsi="Lato" w:cs="Arial"/>
            </w:rPr>
            <w:t xml:space="preserve"> de </w:t>
          </w:r>
          <w:fldSimple w:instr=" NUMPAGES   \* MERGEFORMAT ">
            <w:r w:rsidR="00664789" w:rsidRPr="00664789">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13" w:rsidRDefault="00B04413" w:rsidP="00CC10D2">
      <w:r>
        <w:separator/>
      </w:r>
    </w:p>
  </w:footnote>
  <w:footnote w:type="continuationSeparator" w:id="0">
    <w:p w:rsidR="00B04413" w:rsidRDefault="00B0441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1">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266A"/>
    <w:rsid w:val="00053985"/>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D4CBA"/>
    <w:rsid w:val="003E1909"/>
    <w:rsid w:val="003E2294"/>
    <w:rsid w:val="003F0846"/>
    <w:rsid w:val="0040466C"/>
    <w:rsid w:val="00405A1C"/>
    <w:rsid w:val="004108AE"/>
    <w:rsid w:val="004177AF"/>
    <w:rsid w:val="00423AE2"/>
    <w:rsid w:val="00432848"/>
    <w:rsid w:val="0043380F"/>
    <w:rsid w:val="004350F7"/>
    <w:rsid w:val="00444444"/>
    <w:rsid w:val="00445058"/>
    <w:rsid w:val="0045071C"/>
    <w:rsid w:val="00460FED"/>
    <w:rsid w:val="00467770"/>
    <w:rsid w:val="00472CC9"/>
    <w:rsid w:val="00474D4D"/>
    <w:rsid w:val="00482D27"/>
    <w:rsid w:val="00483F8F"/>
    <w:rsid w:val="00490810"/>
    <w:rsid w:val="004A2A3A"/>
    <w:rsid w:val="004B0D0D"/>
    <w:rsid w:val="004B13EF"/>
    <w:rsid w:val="004B47A1"/>
    <w:rsid w:val="004C0187"/>
    <w:rsid w:val="004D1E22"/>
    <w:rsid w:val="004D2D18"/>
    <w:rsid w:val="004D4F59"/>
    <w:rsid w:val="004D7EC1"/>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77A2D"/>
    <w:rsid w:val="005A4870"/>
    <w:rsid w:val="005B5910"/>
    <w:rsid w:val="005C3AE4"/>
    <w:rsid w:val="005C5C55"/>
    <w:rsid w:val="005D1DF6"/>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789"/>
    <w:rsid w:val="0066482F"/>
    <w:rsid w:val="00671E47"/>
    <w:rsid w:val="00672F3D"/>
    <w:rsid w:val="00680166"/>
    <w:rsid w:val="006840D7"/>
    <w:rsid w:val="00686C4B"/>
    <w:rsid w:val="00691712"/>
    <w:rsid w:val="00694381"/>
    <w:rsid w:val="006A1F65"/>
    <w:rsid w:val="006B408F"/>
    <w:rsid w:val="006C41DA"/>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6007"/>
    <w:rsid w:val="0077288D"/>
    <w:rsid w:val="00782080"/>
    <w:rsid w:val="0078311C"/>
    <w:rsid w:val="0078628F"/>
    <w:rsid w:val="007903E0"/>
    <w:rsid w:val="007937F7"/>
    <w:rsid w:val="007A7B81"/>
    <w:rsid w:val="007B04A9"/>
    <w:rsid w:val="007B5C82"/>
    <w:rsid w:val="007C1908"/>
    <w:rsid w:val="007C78FD"/>
    <w:rsid w:val="007D0EA7"/>
    <w:rsid w:val="007D2521"/>
    <w:rsid w:val="007F2222"/>
    <w:rsid w:val="007F3526"/>
    <w:rsid w:val="007F5F5E"/>
    <w:rsid w:val="007F5FA9"/>
    <w:rsid w:val="00803B71"/>
    <w:rsid w:val="00806B7E"/>
    <w:rsid w:val="00807264"/>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49E9"/>
    <w:rsid w:val="00890668"/>
    <w:rsid w:val="0089138E"/>
    <w:rsid w:val="00894996"/>
    <w:rsid w:val="008A04DF"/>
    <w:rsid w:val="008A1794"/>
    <w:rsid w:val="008B19C4"/>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667D9"/>
    <w:rsid w:val="00976A08"/>
    <w:rsid w:val="009A0ABC"/>
    <w:rsid w:val="009A3124"/>
    <w:rsid w:val="009D065E"/>
    <w:rsid w:val="009D19C0"/>
    <w:rsid w:val="009D285C"/>
    <w:rsid w:val="009D5743"/>
    <w:rsid w:val="009D6A30"/>
    <w:rsid w:val="009E2971"/>
    <w:rsid w:val="009E40BD"/>
    <w:rsid w:val="009E40C1"/>
    <w:rsid w:val="009E4EF3"/>
    <w:rsid w:val="009E7396"/>
    <w:rsid w:val="00A031C9"/>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9206D"/>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43541"/>
    <w:rsid w:val="00B44464"/>
    <w:rsid w:val="00B47210"/>
    <w:rsid w:val="00B47215"/>
    <w:rsid w:val="00B473B3"/>
    <w:rsid w:val="00B50AB7"/>
    <w:rsid w:val="00B63DC7"/>
    <w:rsid w:val="00B71665"/>
    <w:rsid w:val="00B7250E"/>
    <w:rsid w:val="00B75A5E"/>
    <w:rsid w:val="00B853EE"/>
    <w:rsid w:val="00B96AF0"/>
    <w:rsid w:val="00BA36F3"/>
    <w:rsid w:val="00BA3A61"/>
    <w:rsid w:val="00BA5C77"/>
    <w:rsid w:val="00BA7BBD"/>
    <w:rsid w:val="00BC016D"/>
    <w:rsid w:val="00BD035B"/>
    <w:rsid w:val="00BE1241"/>
    <w:rsid w:val="00BE5895"/>
    <w:rsid w:val="00BF0C64"/>
    <w:rsid w:val="00C10A30"/>
    <w:rsid w:val="00C17301"/>
    <w:rsid w:val="00C175EA"/>
    <w:rsid w:val="00C25C7D"/>
    <w:rsid w:val="00C31213"/>
    <w:rsid w:val="00C329C9"/>
    <w:rsid w:val="00C40EEC"/>
    <w:rsid w:val="00C41EAC"/>
    <w:rsid w:val="00C45056"/>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20A65"/>
    <w:rsid w:val="00D3009D"/>
    <w:rsid w:val="00D31A6A"/>
    <w:rsid w:val="00D332B3"/>
    <w:rsid w:val="00D45E18"/>
    <w:rsid w:val="00D50819"/>
    <w:rsid w:val="00D53518"/>
    <w:rsid w:val="00D535D5"/>
    <w:rsid w:val="00D55416"/>
    <w:rsid w:val="00D60B3B"/>
    <w:rsid w:val="00D82424"/>
    <w:rsid w:val="00D8738B"/>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F76A5"/>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19A1"/>
    <w:rsid w:val="00E72E24"/>
    <w:rsid w:val="00E73129"/>
    <w:rsid w:val="00E82032"/>
    <w:rsid w:val="00E829D3"/>
    <w:rsid w:val="00E8536E"/>
    <w:rsid w:val="00E86187"/>
    <w:rsid w:val="00E95217"/>
    <w:rsid w:val="00EA0EAF"/>
    <w:rsid w:val="00EA2C81"/>
    <w:rsid w:val="00EA2D0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F27"/>
    <w:rsid w:val="00F27B98"/>
    <w:rsid w:val="00F32058"/>
    <w:rsid w:val="00F33E61"/>
    <w:rsid w:val="00F359DA"/>
    <w:rsid w:val="00F42394"/>
    <w:rsid w:val="00F4334D"/>
    <w:rsid w:val="00F438E9"/>
    <w:rsid w:val="00F4539C"/>
    <w:rsid w:val="00F4661C"/>
    <w:rsid w:val="00F50228"/>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8D8D-161C-446C-9EDC-8416F32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1533</Words>
  <Characters>8435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2019-03-12T17:49:00Z</cp:lastPrinted>
  <dcterms:created xsi:type="dcterms:W3CDTF">2019-03-12T16:33:00Z</dcterms:created>
  <dcterms:modified xsi:type="dcterms:W3CDTF">2019-03-12T18:10:00Z</dcterms:modified>
</cp:coreProperties>
</file>