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63915" w:rsidRDefault="00762A70" w:rsidP="00437362">
      <w:pPr>
        <w:spacing w:line="336" w:lineRule="auto"/>
        <w:jc w:val="center"/>
        <w:rPr>
          <w:rFonts w:ascii="Lato" w:hAnsi="Lato" w:cs="Arial"/>
          <w:b/>
          <w:sz w:val="36"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</w:t>
      </w:r>
      <w:r w:rsidR="008C4AA6">
        <w:rPr>
          <w:rFonts w:ascii="Lato" w:hAnsi="Lato" w:cs="Arial"/>
          <w:b/>
        </w:rPr>
        <w:t>cta relativa a la Sesión No. CT/SE/</w:t>
      </w:r>
      <w:bookmarkStart w:id="0" w:name="_GoBack"/>
      <w:bookmarkEnd w:id="0"/>
      <w:r w:rsidR="008C4AA6">
        <w:rPr>
          <w:rFonts w:ascii="Lato" w:hAnsi="Lato" w:cs="Arial"/>
          <w:b/>
        </w:rPr>
        <w:t>26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63915" w:rsidRDefault="00762A70" w:rsidP="00437362">
      <w:pPr>
        <w:spacing w:line="336" w:lineRule="auto"/>
        <w:jc w:val="center"/>
        <w:rPr>
          <w:rFonts w:ascii="Lato" w:hAnsi="Lato" w:cs="Arial"/>
          <w:b/>
          <w:sz w:val="36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8C4AA6">
        <w:rPr>
          <w:rFonts w:ascii="Lato" w:hAnsi="Lato" w:cs="Arial"/>
        </w:rPr>
        <w:t>nueve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8C4AA6">
        <w:rPr>
          <w:rFonts w:ascii="Lato" w:hAnsi="Lato" w:cs="Arial"/>
        </w:rPr>
        <w:t>veinti</w:t>
      </w:r>
      <w:r w:rsidR="00663915">
        <w:rPr>
          <w:rFonts w:ascii="Lato" w:hAnsi="Lato" w:cs="Arial"/>
        </w:rPr>
        <w:t>dós</w:t>
      </w:r>
      <w:r w:rsidR="008C4AA6">
        <w:rPr>
          <w:rFonts w:ascii="Lato" w:hAnsi="Lato" w:cs="Arial"/>
        </w:rPr>
        <w:t xml:space="preserve"> de abril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663915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663915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8C4AA6">
        <w:rPr>
          <w:rFonts w:ascii="Lato" w:hAnsi="Lato" w:cs="Arial"/>
        </w:rPr>
        <w:t>número CT/SE/26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663915" w:rsidRDefault="00DA3F0D" w:rsidP="00663915">
      <w:pPr>
        <w:spacing w:line="336" w:lineRule="auto"/>
        <w:jc w:val="center"/>
        <w:rPr>
          <w:rFonts w:ascii="Lato" w:hAnsi="Lato" w:cs="Arial"/>
          <w:b/>
          <w:sz w:val="36"/>
        </w:rPr>
      </w:pPr>
    </w:p>
    <w:p w:rsidR="008C4AA6" w:rsidRDefault="008C4AA6" w:rsidP="008C4AA6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La Secretaria Técnica del Comité da cuenta con la lista de asistencia </w:t>
      </w:r>
      <w:r w:rsidR="005E4E45">
        <w:rPr>
          <w:rFonts w:ascii="Lato" w:hAnsi="Lato" w:cs="Arial"/>
        </w:rPr>
        <w:t xml:space="preserve">de todos los integrantes del Comité, </w:t>
      </w:r>
      <w:r>
        <w:rPr>
          <w:rFonts w:ascii="Lato" w:hAnsi="Lato" w:cs="Arial"/>
        </w:rPr>
        <w:t>al Magistrado Presidente, quien declara la existencia de quórum legal, por lo cual se inicia esta sesión conforme a los artículos 53 de la Ley de Transparencia y Acceso a la Información Pública para el Estado de Baja California; 39 y 42 del Reglamento de la Ley citada. Acto continuo,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lastRenderedPageBreak/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8C4AA6">
        <w:rPr>
          <w:rFonts w:ascii="Lato" w:hAnsi="Lato" w:cs="Arial"/>
          <w:b/>
        </w:rPr>
        <w:t>16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0378A4">
        <w:rPr>
          <w:rFonts w:ascii="Lato" w:hAnsi="Lato" w:cs="Arial"/>
        </w:rPr>
        <w:t>la Jueza Segundo de Primera Instancia Civil del Partido Judicial de Mexicali</w:t>
      </w:r>
      <w:r w:rsidR="00663915">
        <w:rPr>
          <w:rFonts w:ascii="Lato" w:hAnsi="Lato" w:cs="Arial"/>
        </w:rPr>
        <w:t>,</w:t>
      </w:r>
      <w:r w:rsidR="00F950E4">
        <w:rPr>
          <w:rFonts w:ascii="Lato" w:hAnsi="Lato" w:cs="Arial"/>
        </w:rPr>
        <w:t xml:space="preserve"> Baja California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F950E4">
        <w:rPr>
          <w:rFonts w:ascii="Lato" w:hAnsi="Lato" w:cs="Arial"/>
        </w:rPr>
        <w:t>0</w:t>
      </w:r>
      <w:r w:rsidR="000378A4">
        <w:rPr>
          <w:rFonts w:ascii="Lato" w:hAnsi="Lato" w:cs="Arial"/>
        </w:rPr>
        <w:t>3</w:t>
      </w:r>
      <w:r w:rsidR="008C4AA6">
        <w:rPr>
          <w:rFonts w:ascii="Lato" w:hAnsi="Lato" w:cs="Arial"/>
        </w:rPr>
        <w:t>786</w:t>
      </w:r>
      <w:r w:rsidR="000378A4">
        <w:rPr>
          <w:rFonts w:ascii="Lato" w:hAnsi="Lato" w:cs="Arial"/>
        </w:rPr>
        <w:t>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8C4AA6">
        <w:rPr>
          <w:rFonts w:ascii="Lato" w:hAnsi="Lato" w:cs="Arial"/>
        </w:rPr>
        <w:t>doce de abril</w:t>
      </w:r>
      <w:r w:rsidR="004448F6">
        <w:rPr>
          <w:rFonts w:ascii="Lato" w:hAnsi="Lato" w:cs="Arial"/>
        </w:rPr>
        <w:t xml:space="preserve">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F950E4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5E25CE" w:rsidRDefault="005E25CE" w:rsidP="00563A82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D6761B">
        <w:rPr>
          <w:rFonts w:ascii="Lato" w:hAnsi="Lato" w:cs="Arial"/>
        </w:rPr>
        <w:t>por</w:t>
      </w:r>
      <w:r w:rsidR="000378A4">
        <w:rPr>
          <w:rFonts w:ascii="Lato" w:hAnsi="Lato" w:cs="Arial"/>
        </w:rPr>
        <w:t xml:space="preserve"> la Titular del Juzgado Segundo de Primera Instancia Civil del Partido Judicial de Mexicali</w:t>
      </w:r>
      <w:r w:rsidR="00663915">
        <w:rPr>
          <w:rFonts w:ascii="Lato" w:hAnsi="Lato" w:cs="Arial"/>
        </w:rPr>
        <w:t>,</w:t>
      </w:r>
      <w:r w:rsidR="000378A4">
        <w:rPr>
          <w:rFonts w:ascii="Lato" w:hAnsi="Lato" w:cs="Arial"/>
        </w:rPr>
        <w:t xml:space="preserve"> Baja California</w:t>
      </w:r>
      <w:r w:rsidR="005E4E45">
        <w:rPr>
          <w:rFonts w:ascii="Lato" w:hAnsi="Lato" w:cs="Arial"/>
        </w:rPr>
        <w:t xml:space="preserve">, </w:t>
      </w:r>
      <w:r w:rsidR="00660C86">
        <w:rPr>
          <w:rFonts w:ascii="Lato" w:hAnsi="Lato" w:cs="Arial"/>
        </w:rPr>
        <w:t xml:space="preserve">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Pr="00D5635F">
        <w:rPr>
          <w:rFonts w:ascii="Lato" w:hAnsi="Lato" w:cs="Arial"/>
          <w:b/>
        </w:rPr>
        <w:t xml:space="preserve"> la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5E4E45">
        <w:rPr>
          <w:rFonts w:ascii="Lato" w:hAnsi="Lato" w:cs="Arial"/>
          <w:b/>
        </w:rPr>
        <w:t>ón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 xml:space="preserve"> </w:t>
      </w:r>
      <w:r w:rsidR="005E4E45">
        <w:rPr>
          <w:rFonts w:ascii="Lato" w:hAnsi="Lato" w:cs="Arial"/>
          <w:b/>
        </w:rPr>
        <w:t>correspondiente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887250" w:rsidRDefault="004976CB" w:rsidP="005F501F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4448F6">
        <w:rPr>
          <w:rFonts w:ascii="Lato" w:hAnsi="Lato" w:cs="Arial"/>
        </w:rPr>
        <w:t xml:space="preserve"> </w:t>
      </w:r>
      <w:r w:rsidR="00887250">
        <w:rPr>
          <w:rFonts w:ascii="Lato" w:hAnsi="Lato" w:cs="Arial"/>
        </w:rPr>
        <w:t xml:space="preserve">un expediente </w:t>
      </w:r>
      <w:r w:rsidR="005E4E45">
        <w:rPr>
          <w:rFonts w:ascii="Lato" w:hAnsi="Lato" w:cs="Arial"/>
        </w:rPr>
        <w:t>tramitado ante el Juzgado Segundo Civil de Mexicali.</w:t>
      </w:r>
    </w:p>
    <w:p w:rsidR="005E4E45" w:rsidRDefault="005E4E45" w:rsidP="005F501F">
      <w:pPr>
        <w:spacing w:line="348" w:lineRule="auto"/>
        <w:jc w:val="both"/>
        <w:rPr>
          <w:rFonts w:ascii="Lato" w:hAnsi="Lato" w:cs="Arial"/>
        </w:rPr>
      </w:pPr>
    </w:p>
    <w:p w:rsidR="00FC1084" w:rsidRDefault="00610E64" w:rsidP="009E352F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5E4E45">
        <w:rPr>
          <w:rFonts w:ascii="Lato" w:hAnsi="Lato" w:cs="Arial"/>
        </w:rPr>
        <w:t>12 de abril del año en curso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7361B9">
        <w:rPr>
          <w:rFonts w:ascii="Lato" w:hAnsi="Lato" w:cs="Arial"/>
        </w:rPr>
        <w:t>el</w:t>
      </w:r>
      <w:r w:rsidR="00E04E57">
        <w:rPr>
          <w:rFonts w:ascii="Lato" w:hAnsi="Lato" w:cs="Arial"/>
        </w:rPr>
        <w:t xml:space="preserve"> número </w:t>
      </w:r>
      <w:r w:rsidR="005E4E45">
        <w:rPr>
          <w:rFonts w:ascii="Lato" w:hAnsi="Lato" w:cs="Arial"/>
        </w:rPr>
        <w:t>559</w:t>
      </w:r>
      <w:r w:rsidR="00E04E57">
        <w:rPr>
          <w:rFonts w:ascii="Lato" w:hAnsi="Lato" w:cs="Arial"/>
        </w:rPr>
        <w:t>/UT/MXL/202</w:t>
      </w:r>
      <w:r w:rsidR="007361B9">
        <w:rPr>
          <w:rFonts w:ascii="Lato" w:hAnsi="Lato" w:cs="Arial"/>
        </w:rPr>
        <w:t xml:space="preserve">1,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remiti</w:t>
      </w:r>
      <w:r w:rsidR="007361B9">
        <w:rPr>
          <w:rFonts w:ascii="Lato" w:hAnsi="Lato" w:cs="Arial"/>
        </w:rPr>
        <w:t>ó</w:t>
      </w:r>
      <w:r w:rsidR="009E352F">
        <w:rPr>
          <w:rFonts w:ascii="Lato" w:hAnsi="Lato" w:cs="Arial"/>
        </w:rPr>
        <w:t xml:space="preserve"> mediante </w:t>
      </w:r>
      <w:r w:rsidR="007361B9">
        <w:rPr>
          <w:rFonts w:ascii="Lato" w:hAnsi="Lato" w:cs="Arial"/>
        </w:rPr>
        <w:t xml:space="preserve">el </w:t>
      </w:r>
      <w:r w:rsidR="009E352F">
        <w:rPr>
          <w:rFonts w:ascii="Lato" w:hAnsi="Lato" w:cs="Arial"/>
        </w:rPr>
        <w:t>oficio</w:t>
      </w:r>
      <w:r w:rsidR="007361B9">
        <w:rPr>
          <w:rFonts w:ascii="Lato" w:hAnsi="Lato" w:cs="Arial"/>
        </w:rPr>
        <w:t xml:space="preserve"> </w:t>
      </w:r>
      <w:r w:rsidR="005E4E45">
        <w:rPr>
          <w:rFonts w:ascii="Lato" w:hAnsi="Lato" w:cs="Arial"/>
        </w:rPr>
        <w:t>número 2481</w:t>
      </w:r>
      <w:r w:rsidR="007361B9">
        <w:rPr>
          <w:rFonts w:ascii="Lato" w:hAnsi="Lato" w:cs="Arial"/>
        </w:rPr>
        <w:t>/</w:t>
      </w:r>
      <w:r w:rsidR="008801C9">
        <w:rPr>
          <w:rFonts w:ascii="Lato" w:hAnsi="Lato" w:cs="Arial"/>
        </w:rPr>
        <w:t>2021</w:t>
      </w:r>
      <w:r w:rsidR="007361B9">
        <w:rPr>
          <w:rFonts w:ascii="Lato" w:hAnsi="Lato" w:cs="Arial"/>
        </w:rPr>
        <w:t>,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recibido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el </w:t>
      </w:r>
      <w:r w:rsidR="005E4E45">
        <w:rPr>
          <w:rFonts w:ascii="Lato" w:hAnsi="Lato" w:cs="Arial"/>
        </w:rPr>
        <w:t>19 de este mismo mes</w:t>
      </w:r>
      <w:r w:rsidR="00E04E57">
        <w:rPr>
          <w:rFonts w:ascii="Lato" w:hAnsi="Lato" w:cs="Arial"/>
        </w:rPr>
        <w:t xml:space="preserve">, </w:t>
      </w:r>
      <w:r w:rsidR="005E4E45">
        <w:rPr>
          <w:rFonts w:ascii="Lato" w:hAnsi="Lato" w:cs="Arial"/>
        </w:rPr>
        <w:t>l</w:t>
      </w:r>
      <w:r w:rsidR="00887250">
        <w:rPr>
          <w:rFonts w:ascii="Lato" w:hAnsi="Lato" w:cs="Arial"/>
        </w:rPr>
        <w:t>a versión pública de</w:t>
      </w:r>
      <w:r w:rsidR="005E4E45">
        <w:rPr>
          <w:rFonts w:ascii="Lato" w:hAnsi="Lato" w:cs="Arial"/>
        </w:rPr>
        <w:t>l</w:t>
      </w:r>
      <w:r w:rsidR="00887250">
        <w:rPr>
          <w:rFonts w:ascii="Lato" w:hAnsi="Lato" w:cs="Arial"/>
        </w:rPr>
        <w:t xml:space="preserve"> expediente </w:t>
      </w:r>
      <w:r w:rsidR="009E352F">
        <w:rPr>
          <w:rFonts w:ascii="Lato" w:hAnsi="Lato" w:cs="Arial"/>
        </w:rPr>
        <w:t>de interés para el solicitante</w:t>
      </w:r>
      <w:r w:rsidR="00926420">
        <w:rPr>
          <w:rFonts w:ascii="Lato" w:hAnsi="Lato" w:cs="Arial"/>
        </w:rPr>
        <w:t>, manifestando que</w:t>
      </w:r>
      <w:r w:rsidR="00663915">
        <w:rPr>
          <w:rFonts w:ascii="Lato" w:hAnsi="Lato" w:cs="Arial"/>
        </w:rPr>
        <w:t>:</w:t>
      </w:r>
      <w:r w:rsidR="00926420">
        <w:rPr>
          <w:rFonts w:ascii="Lato" w:hAnsi="Lato" w:cs="Arial"/>
        </w:rPr>
        <w:t xml:space="preserve"> “</w:t>
      </w:r>
      <w:r w:rsidR="00926420" w:rsidRPr="00926420">
        <w:rPr>
          <w:rFonts w:ascii="Lato" w:hAnsi="Lato" w:cs="Arial"/>
          <w:i/>
        </w:rPr>
        <w:t>no se generó costo alguno por no requerirse fotocopias, toda vez que la versión pública se realizó sobre un expediente digitalizado</w:t>
      </w:r>
      <w:r w:rsidR="00926420">
        <w:rPr>
          <w:rFonts w:ascii="Lato" w:hAnsi="Lato" w:cs="Arial"/>
        </w:rPr>
        <w:t>”</w:t>
      </w:r>
      <w:r w:rsidR="009E352F">
        <w:rPr>
          <w:rFonts w:ascii="Lato" w:hAnsi="Lato" w:cs="Arial"/>
        </w:rPr>
        <w:t>.</w:t>
      </w:r>
      <w:r w:rsidR="00FC1084">
        <w:rPr>
          <w:rFonts w:ascii="Lato" w:hAnsi="Lato" w:cs="Arial"/>
        </w:rPr>
        <w:t xml:space="preserve"> </w:t>
      </w:r>
    </w:p>
    <w:p w:rsidR="00616B59" w:rsidRPr="00D5635F" w:rsidRDefault="00616B59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 la</w:t>
      </w:r>
      <w:r w:rsidR="00F82179">
        <w:rPr>
          <w:rFonts w:ascii="Lato" w:hAnsi="Lato" w:cs="Arial"/>
          <w:b/>
        </w:rPr>
        <w:t xml:space="preserve"> versi</w:t>
      </w:r>
      <w:r w:rsidR="00887250">
        <w:rPr>
          <w:rFonts w:ascii="Lato" w:hAnsi="Lato" w:cs="Arial"/>
          <w:b/>
        </w:rPr>
        <w:t>ón</w:t>
      </w:r>
      <w:r w:rsidRPr="00762A70">
        <w:rPr>
          <w:rFonts w:ascii="Lato" w:hAnsi="Lato" w:cs="Arial"/>
          <w:b/>
        </w:rPr>
        <w:t xml:space="preserve"> pública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</w:t>
      </w:r>
      <w:r w:rsidR="00887250">
        <w:rPr>
          <w:rFonts w:ascii="Lato" w:hAnsi="Lato" w:cs="Arial"/>
        </w:rPr>
        <w:t xml:space="preserve">ó el documento y </w:t>
      </w:r>
      <w:r w:rsidRPr="00762A70">
        <w:rPr>
          <w:rFonts w:ascii="Lato" w:hAnsi="Lato" w:cs="Arial"/>
        </w:rPr>
        <w:t>el proyecto de resolución al Comité de Transparencia, para su análisis.</w:t>
      </w:r>
    </w:p>
    <w:p w:rsidR="00F675E4" w:rsidRDefault="004E6451" w:rsidP="00776C0A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776C0A">
      <w:pPr>
        <w:spacing w:line="360" w:lineRule="auto"/>
        <w:jc w:val="both"/>
        <w:rPr>
          <w:rFonts w:ascii="Lato" w:hAnsi="Lato" w:cs="Arial"/>
          <w:b/>
        </w:rPr>
      </w:pPr>
    </w:p>
    <w:p w:rsidR="00DA3F0D" w:rsidRDefault="00F675E4" w:rsidP="00776C0A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776C0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776C0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776C0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776C0A">
        <w:rPr>
          <w:rFonts w:ascii="Lato" w:hAnsi="Lato" w:cs="Arial"/>
        </w:rPr>
        <w:t>e</w:t>
      </w:r>
      <w:r w:rsidR="00E751A7">
        <w:rPr>
          <w:rFonts w:ascii="Lato" w:hAnsi="Lato" w:cs="Arial"/>
        </w:rPr>
        <w:t xml:space="preserve">l caso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 xml:space="preserve"> que nos ocupa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776C0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4F3AF1">
        <w:rPr>
          <w:rFonts w:ascii="Lato" w:hAnsi="Lato" w:cs="Arial"/>
          <w:b/>
        </w:rPr>
        <w:t xml:space="preserve"> versi</w:t>
      </w:r>
      <w:r w:rsidR="007121BD">
        <w:rPr>
          <w:rFonts w:ascii="Lato" w:hAnsi="Lato" w:cs="Arial"/>
          <w:b/>
        </w:rPr>
        <w:t>ón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776C0A">
      <w:pPr>
        <w:spacing w:line="360" w:lineRule="auto"/>
        <w:jc w:val="both"/>
        <w:rPr>
          <w:rFonts w:ascii="Lato" w:hAnsi="Lato" w:cs="Arial"/>
          <w:sz w:val="18"/>
        </w:rPr>
      </w:pPr>
    </w:p>
    <w:p w:rsidR="00D52E7A" w:rsidRDefault="00CE1B7C" w:rsidP="00776C0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7121BD">
        <w:rPr>
          <w:rFonts w:ascii="Lato" w:hAnsi="Lato" w:cs="Arial"/>
        </w:rPr>
        <w:t xml:space="preserve">que intervienen en el proceso jurisdiccional señalado, de cuyo expediente </w:t>
      </w:r>
      <w:r w:rsidR="00E751A7">
        <w:rPr>
          <w:rFonts w:ascii="Lato" w:hAnsi="Lato" w:cs="Arial"/>
        </w:rPr>
        <w:t>se obsequia</w:t>
      </w:r>
      <w:r w:rsidR="007121BD">
        <w:rPr>
          <w:rFonts w:ascii="Lato" w:hAnsi="Lato" w:cs="Arial"/>
        </w:rPr>
        <w:t xml:space="preserve"> la versión pública correspondiente</w:t>
      </w:r>
      <w:r w:rsidR="00B21E1F">
        <w:rPr>
          <w:rFonts w:ascii="Lato" w:hAnsi="Lato" w:cs="Arial"/>
        </w:rPr>
        <w:t>,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B21E1F">
        <w:rPr>
          <w:rFonts w:ascii="Lato" w:hAnsi="Lato" w:cs="Arial"/>
        </w:rPr>
        <w:t>0</w:t>
      </w:r>
      <w:r w:rsidR="005E4E45">
        <w:rPr>
          <w:rFonts w:ascii="Lato" w:hAnsi="Lato" w:cs="Arial"/>
        </w:rPr>
        <w:t>3786</w:t>
      </w:r>
      <w:r w:rsidR="007121BD">
        <w:rPr>
          <w:rFonts w:ascii="Lato" w:hAnsi="Lato" w:cs="Arial"/>
        </w:rPr>
        <w:t>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  <w:r w:rsidR="00FD0D4B">
        <w:rPr>
          <w:rFonts w:ascii="Lato" w:hAnsi="Lato" w:cs="Arial"/>
        </w:rPr>
        <w:t xml:space="preserve"> 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776C0A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 vers</w:t>
      </w:r>
      <w:r w:rsidR="00F54F5E" w:rsidRPr="00E90C1C">
        <w:rPr>
          <w:rFonts w:ascii="Lato" w:hAnsi="Lato" w:cs="Arial"/>
        </w:rPr>
        <w:t>i</w:t>
      </w:r>
      <w:r w:rsidR="007121BD">
        <w:rPr>
          <w:rFonts w:ascii="Lato" w:hAnsi="Lato" w:cs="Arial"/>
        </w:rPr>
        <w:t>ón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 xml:space="preserve">pública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</w:t>
      </w:r>
      <w:r w:rsidR="00FD0D4B">
        <w:rPr>
          <w:rFonts w:ascii="Lato" w:hAnsi="Lato" w:cs="Arial"/>
          <w:b/>
        </w:rPr>
        <w:t xml:space="preserve">que aparecen en </w:t>
      </w:r>
      <w:r w:rsidR="00B21E1F">
        <w:rPr>
          <w:rFonts w:ascii="Lato" w:hAnsi="Lato" w:cs="Arial"/>
          <w:b/>
        </w:rPr>
        <w:t>l</w:t>
      </w:r>
      <w:r w:rsidR="007121BD">
        <w:rPr>
          <w:rFonts w:ascii="Lato" w:hAnsi="Lato" w:cs="Arial"/>
          <w:b/>
        </w:rPr>
        <w:t>as constancias que integran el expediente citado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7121BD">
        <w:rPr>
          <w:rFonts w:ascii="Lato" w:hAnsi="Lato" w:cs="Arial"/>
        </w:rPr>
        <w:t>los</w:t>
      </w:r>
      <w:r w:rsidR="00213FA0" w:rsidRPr="007121BD">
        <w:rPr>
          <w:rFonts w:ascii="Lato" w:hAnsi="Lato" w:cs="Arial"/>
          <w:b/>
        </w:rPr>
        <w:t xml:space="preserve"> </w:t>
      </w:r>
      <w:r w:rsidR="00EA79F4" w:rsidRPr="007121BD">
        <w:rPr>
          <w:rFonts w:ascii="Lato" w:hAnsi="Lato" w:cs="Arial"/>
          <w:b/>
        </w:rPr>
        <w:t xml:space="preserve">datos omitidos </w:t>
      </w:r>
      <w:r w:rsidR="007121BD" w:rsidRPr="007121BD">
        <w:rPr>
          <w:rFonts w:ascii="Lato" w:hAnsi="Lato" w:cs="Arial"/>
        </w:rPr>
        <w:t>son</w:t>
      </w:r>
      <w:r w:rsidR="00776C0A">
        <w:rPr>
          <w:rFonts w:ascii="Lato" w:hAnsi="Lato" w:cs="Arial"/>
        </w:rPr>
        <w:t>:</w:t>
      </w:r>
      <w:r w:rsidR="007121BD" w:rsidRPr="007121BD">
        <w:rPr>
          <w:rFonts w:ascii="Lato" w:hAnsi="Lato" w:cs="Arial"/>
        </w:rPr>
        <w:t xml:space="preserve"> </w:t>
      </w:r>
      <w:r w:rsidR="007121BD">
        <w:rPr>
          <w:rFonts w:ascii="Lato" w:hAnsi="Lato" w:cs="Arial"/>
        </w:rPr>
        <w:t>el nombre de la</w:t>
      </w:r>
      <w:r w:rsidR="006E7624">
        <w:rPr>
          <w:rFonts w:ascii="Lato" w:hAnsi="Lato" w:cs="Arial"/>
        </w:rPr>
        <w:t xml:space="preserve">s partes legítimas interesadas y de los abogados, firmas, domicilio y datos generales relativos a la </w:t>
      </w:r>
      <w:r w:rsidR="007121BD">
        <w:rPr>
          <w:rFonts w:ascii="Lato" w:hAnsi="Lato" w:cs="Arial"/>
        </w:rPr>
        <w:t>edad, ocupación, número de la identificación oficial</w:t>
      </w:r>
      <w:r w:rsidR="006E7624">
        <w:rPr>
          <w:rFonts w:ascii="Lato" w:hAnsi="Lato" w:cs="Arial"/>
        </w:rPr>
        <w:t xml:space="preserve"> y licencia</w:t>
      </w:r>
      <w:r w:rsidR="007121BD">
        <w:rPr>
          <w:rFonts w:ascii="Lato" w:hAnsi="Lato" w:cs="Arial"/>
        </w:rPr>
        <w:t xml:space="preserve">, datos de un </w:t>
      </w:r>
      <w:r w:rsidR="006E7624">
        <w:rPr>
          <w:rFonts w:ascii="Lato" w:hAnsi="Lato" w:cs="Arial"/>
        </w:rPr>
        <w:t>inmueble y su valor</w:t>
      </w:r>
      <w:r w:rsidR="00935ACA">
        <w:rPr>
          <w:rFonts w:ascii="Lato" w:hAnsi="Lato" w:cs="Arial"/>
        </w:rPr>
        <w:t xml:space="preserve">,  </w:t>
      </w:r>
      <w:r w:rsidR="006E7624">
        <w:rPr>
          <w:rFonts w:ascii="Lato" w:hAnsi="Lato" w:cs="Arial"/>
        </w:rPr>
        <w:t xml:space="preserve">número de </w:t>
      </w:r>
      <w:r w:rsidR="00935ACA">
        <w:rPr>
          <w:rFonts w:ascii="Lato" w:hAnsi="Lato" w:cs="Arial"/>
        </w:rPr>
        <w:t xml:space="preserve">Boletín </w:t>
      </w:r>
      <w:r w:rsidR="00935ACA">
        <w:rPr>
          <w:rFonts w:ascii="Lato" w:hAnsi="Lato" w:cs="Arial"/>
        </w:rPr>
        <w:lastRenderedPageBreak/>
        <w:t>Judicial</w:t>
      </w:r>
      <w:r w:rsidR="006E7624">
        <w:rPr>
          <w:rFonts w:ascii="Lato" w:hAnsi="Lato" w:cs="Arial"/>
        </w:rPr>
        <w:t xml:space="preserve"> y fecha</w:t>
      </w:r>
      <w:r w:rsidR="00935ACA">
        <w:rPr>
          <w:rFonts w:ascii="Lato" w:hAnsi="Lato" w:cs="Arial"/>
        </w:rPr>
        <w:t xml:space="preserve">, que unidos, pueden identificar o hacer identificable a la persona,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</w:t>
      </w:r>
      <w:r w:rsidR="00AE040F" w:rsidRPr="00776C0A">
        <w:rPr>
          <w:rFonts w:ascii="Lato" w:hAnsi="Lato" w:cs="Arial"/>
          <w:b/>
          <w:i/>
        </w:rPr>
        <w:t>referidos a las características físicas</w:t>
      </w:r>
      <w:r w:rsidR="00AE040F" w:rsidRPr="00776C0A">
        <w:rPr>
          <w:rFonts w:ascii="Lato" w:hAnsi="Lato" w:cs="Arial"/>
          <w:i/>
        </w:rPr>
        <w:t>, morales o</w:t>
      </w:r>
      <w:r w:rsidR="00AE040F">
        <w:rPr>
          <w:rFonts w:ascii="Lato" w:hAnsi="Lato" w:cs="Arial"/>
          <w:i/>
        </w:rPr>
        <w:t xml:space="preserve">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776C0A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776C0A">
      <w:pPr>
        <w:spacing w:line="360" w:lineRule="auto"/>
        <w:jc w:val="both"/>
        <w:rPr>
          <w:rFonts w:ascii="Lato" w:hAnsi="Lato" w:cs="Arial"/>
        </w:rPr>
      </w:pPr>
    </w:p>
    <w:p w:rsidR="008D0A8E" w:rsidRDefault="009D4F12" w:rsidP="00776C0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776C0A">
      <w:pPr>
        <w:spacing w:line="360" w:lineRule="auto"/>
        <w:jc w:val="both"/>
        <w:rPr>
          <w:rFonts w:ascii="Lato" w:hAnsi="Lato" w:cs="Arial"/>
        </w:rPr>
      </w:pPr>
    </w:p>
    <w:p w:rsidR="00DA3F0D" w:rsidRDefault="00245FC5" w:rsidP="00776C0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776C0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776C0A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776C0A" w:rsidRDefault="00CA45E0" w:rsidP="00776C0A">
      <w:pPr>
        <w:spacing w:line="360" w:lineRule="auto"/>
        <w:jc w:val="both"/>
        <w:rPr>
          <w:rFonts w:ascii="Lato" w:hAnsi="Lato" w:cs="Arial"/>
          <w:b/>
        </w:rPr>
      </w:pPr>
    </w:p>
    <w:p w:rsidR="00DA3F0D" w:rsidRDefault="00DA3F0D" w:rsidP="005373DD">
      <w:pPr>
        <w:spacing w:line="348" w:lineRule="auto"/>
        <w:jc w:val="both"/>
        <w:rPr>
          <w:rFonts w:ascii="Lato" w:hAnsi="Lato" w:cs="Arial"/>
        </w:rPr>
      </w:pPr>
      <w:r w:rsidRPr="00776C0A">
        <w:rPr>
          <w:rFonts w:ascii="Lato" w:hAnsi="Lato" w:cs="Arial"/>
          <w:b/>
        </w:rPr>
        <w:t>E</w:t>
      </w:r>
      <w:r w:rsidRPr="00762A70">
        <w:rPr>
          <w:rFonts w:ascii="Lato" w:hAnsi="Lato" w:cs="Arial"/>
        </w:rPr>
        <w:t xml:space="preserve">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</w:rPr>
        <w:lastRenderedPageBreak/>
        <w:t xml:space="preserve">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Pr="005373DD" w:rsidRDefault="00747EA9" w:rsidP="005373DD">
      <w:pPr>
        <w:spacing w:line="348" w:lineRule="auto"/>
        <w:jc w:val="both"/>
        <w:rPr>
          <w:rFonts w:ascii="Lato" w:hAnsi="Lato" w:cs="Arial"/>
          <w:sz w:val="18"/>
        </w:rPr>
      </w:pPr>
    </w:p>
    <w:p w:rsidR="00567A08" w:rsidRPr="007117E2" w:rsidRDefault="006A3246" w:rsidP="005373DD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 xml:space="preserve">autorización de la </w:t>
      </w:r>
      <w:r w:rsidR="008A3B1D">
        <w:rPr>
          <w:rFonts w:ascii="Lato" w:hAnsi="Lato" w:cs="Arial"/>
          <w:b/>
        </w:rPr>
        <w:t>versi</w:t>
      </w:r>
      <w:r w:rsidR="00776C0A">
        <w:rPr>
          <w:rFonts w:ascii="Lato" w:hAnsi="Lato" w:cs="Arial"/>
          <w:b/>
        </w:rPr>
        <w:t>ó</w:t>
      </w:r>
      <w:r w:rsidR="00C1021E">
        <w:rPr>
          <w:rFonts w:ascii="Lato" w:hAnsi="Lato" w:cs="Arial"/>
          <w:b/>
        </w:rPr>
        <w:t xml:space="preserve">n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451472">
        <w:rPr>
          <w:rFonts w:ascii="Lato" w:hAnsi="Lato" w:cs="Arial"/>
        </w:rPr>
        <w:t xml:space="preserve">realizada por </w:t>
      </w:r>
      <w:r w:rsidR="00935ACA">
        <w:rPr>
          <w:rFonts w:ascii="Lato" w:hAnsi="Lato" w:cs="Arial"/>
        </w:rPr>
        <w:t xml:space="preserve">la Titular del Juzgado Segundo de Primera Instancia Civil del Partido Judicial de Mexicali, </w:t>
      </w:r>
      <w:r w:rsidR="007117E2">
        <w:rPr>
          <w:rFonts w:ascii="Lato" w:hAnsi="Lato" w:cs="Arial"/>
        </w:rPr>
        <w:t xml:space="preserve">consistentes en </w:t>
      </w:r>
      <w:r w:rsidR="00935ACA">
        <w:rPr>
          <w:rFonts w:ascii="Lato" w:hAnsi="Lato" w:cs="Arial"/>
        </w:rPr>
        <w:t>l</w:t>
      </w:r>
      <w:r w:rsidR="00776C0A">
        <w:rPr>
          <w:rFonts w:ascii="Lato" w:hAnsi="Lato" w:cs="Arial"/>
        </w:rPr>
        <w:t>os</w:t>
      </w:r>
      <w:r w:rsidR="00935ACA">
        <w:rPr>
          <w:rFonts w:ascii="Lato" w:hAnsi="Lato" w:cs="Arial"/>
        </w:rPr>
        <w:t xml:space="preserve"> nombre</w:t>
      </w:r>
      <w:r w:rsidR="00776C0A">
        <w:rPr>
          <w:rFonts w:ascii="Lato" w:hAnsi="Lato" w:cs="Arial"/>
        </w:rPr>
        <w:t>s</w:t>
      </w:r>
      <w:r w:rsidR="00935ACA">
        <w:rPr>
          <w:rFonts w:ascii="Lato" w:hAnsi="Lato" w:cs="Arial"/>
        </w:rPr>
        <w:t xml:space="preserve"> de la</w:t>
      </w:r>
      <w:r w:rsidR="006E7624">
        <w:rPr>
          <w:rFonts w:ascii="Lato" w:hAnsi="Lato" w:cs="Arial"/>
        </w:rPr>
        <w:t>s partes legítimas interesadas y de los abogados, firmas, domicilios y datos generales relativos a la edad, ocupación, número de la identificación oficial y licencia, datos de un inmueble y su valor,  número de Boletín Judicial y fecha, que unidos, pueden identificar o hacer identificable a la</w:t>
      </w:r>
      <w:r w:rsidR="00776C0A">
        <w:rPr>
          <w:rFonts w:ascii="Lato" w:hAnsi="Lato" w:cs="Arial"/>
        </w:rPr>
        <w:t>s</w:t>
      </w:r>
      <w:r w:rsidR="006E7624">
        <w:rPr>
          <w:rFonts w:ascii="Lato" w:hAnsi="Lato" w:cs="Arial"/>
        </w:rPr>
        <w:t xml:space="preserve"> persona</w:t>
      </w:r>
      <w:r w:rsidR="00776C0A">
        <w:rPr>
          <w:rFonts w:ascii="Lato" w:hAnsi="Lato" w:cs="Arial"/>
        </w:rPr>
        <w:t>s</w:t>
      </w:r>
      <w:r w:rsidR="006E7624">
        <w:rPr>
          <w:rFonts w:ascii="Lato" w:hAnsi="Lato" w:cs="Arial"/>
        </w:rPr>
        <w:t xml:space="preserve"> </w:t>
      </w:r>
      <w:r w:rsidR="00381EE5">
        <w:rPr>
          <w:rFonts w:ascii="Lato" w:hAnsi="Lato" w:cs="Arial"/>
        </w:rPr>
        <w:t xml:space="preserve">que aparecen en el expediente jurisdiccional </w:t>
      </w:r>
      <w:r w:rsidR="00D41465">
        <w:rPr>
          <w:rFonts w:ascii="Lato" w:hAnsi="Lato" w:cs="Arial"/>
        </w:rPr>
        <w:t>requerido</w:t>
      </w:r>
      <w:r w:rsidR="00761F9C">
        <w:rPr>
          <w:rFonts w:ascii="Lato" w:hAnsi="Lato" w:cs="Arial"/>
        </w:rPr>
        <w:t xml:space="preserve">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9B474C">
        <w:rPr>
          <w:rFonts w:ascii="Lato" w:hAnsi="Lato" w:cs="Arial"/>
        </w:rPr>
        <w:t xml:space="preserve"> de folio </w:t>
      </w:r>
      <w:r w:rsidR="007117E2">
        <w:rPr>
          <w:rFonts w:ascii="Lato" w:hAnsi="Lato" w:cs="Arial"/>
        </w:rPr>
        <w:t>00</w:t>
      </w:r>
      <w:r w:rsidR="006E7624">
        <w:rPr>
          <w:rFonts w:ascii="Lato" w:hAnsi="Lato" w:cs="Arial"/>
        </w:rPr>
        <w:t>3786</w:t>
      </w:r>
      <w:r w:rsidR="007117E2">
        <w:rPr>
          <w:rFonts w:ascii="Lato" w:hAnsi="Lato" w:cs="Arial"/>
        </w:rPr>
        <w:t>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381EE5">
        <w:rPr>
          <w:rFonts w:ascii="Lato" w:hAnsi="Lato" w:cs="Arial"/>
          <w:b/>
        </w:rPr>
        <w:t>ón</w:t>
      </w:r>
      <w:r w:rsidR="00A07213" w:rsidRPr="00A07213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pública</w:t>
      </w:r>
      <w:r w:rsidR="00381EE5">
        <w:rPr>
          <w:rFonts w:ascii="Lato" w:hAnsi="Lato" w:cs="Arial"/>
          <w:b/>
        </w:rPr>
        <w:t xml:space="preserve"> </w:t>
      </w:r>
      <w:r w:rsidR="00AF6D96" w:rsidRPr="007117E2">
        <w:rPr>
          <w:rFonts w:ascii="Lato" w:hAnsi="Lato" w:cs="Arial"/>
        </w:rPr>
        <w:t>de interés del peticionario,</w:t>
      </w:r>
      <w:r w:rsidR="00284A2E" w:rsidRPr="007117E2">
        <w:rPr>
          <w:rFonts w:ascii="Lato" w:hAnsi="Lato" w:cs="Arial"/>
        </w:rPr>
        <w:t xml:space="preserve"> </w:t>
      </w:r>
      <w:r w:rsidR="00567A08" w:rsidRPr="007117E2">
        <w:rPr>
          <w:rFonts w:ascii="Lato" w:hAnsi="Lato" w:cs="Arial"/>
        </w:rPr>
        <w:t>por las razones y fundamentos indicados con antelación.</w:t>
      </w:r>
    </w:p>
    <w:p w:rsidR="00212F98" w:rsidRPr="005373DD" w:rsidRDefault="00CD3BB0" w:rsidP="005373DD">
      <w:pPr>
        <w:spacing w:line="348" w:lineRule="auto"/>
        <w:jc w:val="both"/>
        <w:rPr>
          <w:rFonts w:ascii="Lato" w:hAnsi="Lato" w:cs="Arial"/>
          <w:sz w:val="18"/>
        </w:rPr>
      </w:pPr>
      <w:r w:rsidRPr="005373DD">
        <w:rPr>
          <w:rFonts w:ascii="Lato" w:hAnsi="Lato" w:cs="Arial"/>
          <w:sz w:val="18"/>
        </w:rPr>
        <w:t xml:space="preserve">  </w:t>
      </w:r>
    </w:p>
    <w:p w:rsidR="005B64BC" w:rsidRPr="00762A70" w:rsidRDefault="006152B4" w:rsidP="005373DD">
      <w:pPr>
        <w:spacing w:line="348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887250">
        <w:rPr>
          <w:rFonts w:ascii="Lato" w:hAnsi="Lato" w:cs="Arial"/>
        </w:rPr>
        <w:t>ón</w:t>
      </w:r>
      <w:r w:rsidRPr="00762A70">
        <w:rPr>
          <w:rFonts w:ascii="Lato" w:hAnsi="Lato" w:cs="Arial"/>
        </w:rPr>
        <w:t xml:space="preserve"> pública </w:t>
      </w:r>
      <w:r w:rsidR="00B30196">
        <w:rPr>
          <w:rFonts w:ascii="Lato" w:hAnsi="Lato" w:cs="Arial"/>
        </w:rPr>
        <w:t>solicitada.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>encia,</w:t>
      </w:r>
      <w:r w:rsidR="00D6761B">
        <w:rPr>
          <w:rFonts w:ascii="Lato" w:hAnsi="Lato" w:cs="Arial"/>
        </w:rPr>
        <w:t xml:space="preserve"> a</w:t>
      </w:r>
      <w:r w:rsidR="00887250">
        <w:rPr>
          <w:rFonts w:ascii="Lato" w:hAnsi="Lato" w:cs="Arial"/>
        </w:rPr>
        <w:t xml:space="preserve"> la Jueza Segundo de Primera Instancia Civil del Partido Judicial de Mexicali</w:t>
      </w:r>
      <w:r w:rsidR="005373DD">
        <w:rPr>
          <w:rFonts w:ascii="Lato" w:hAnsi="Lato" w:cs="Arial"/>
        </w:rPr>
        <w:t>,</w:t>
      </w:r>
      <w:r w:rsidR="00887250">
        <w:rPr>
          <w:rFonts w:ascii="Lato" w:hAnsi="Lato" w:cs="Arial"/>
        </w:rPr>
        <w:t xml:space="preserve">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 versi</w:t>
      </w:r>
      <w:r w:rsidR="005373DD">
        <w:rPr>
          <w:rFonts w:ascii="Lato" w:hAnsi="Lato" w:cs="Arial"/>
        </w:rPr>
        <w:t>ó</w:t>
      </w:r>
      <w:r w:rsidR="00B30196">
        <w:rPr>
          <w:rFonts w:ascii="Lato" w:hAnsi="Lato" w:cs="Arial"/>
        </w:rPr>
        <w:t>n</w:t>
      </w:r>
      <w:r w:rsidR="00567A08">
        <w:rPr>
          <w:rFonts w:ascii="Lato" w:hAnsi="Lato" w:cs="Arial"/>
        </w:rPr>
        <w:t xml:space="preserve"> pública </w:t>
      </w:r>
      <w:r w:rsidR="007117E2">
        <w:rPr>
          <w:rFonts w:ascii="Lato" w:hAnsi="Lato" w:cs="Arial"/>
        </w:rPr>
        <w:t>ela</w:t>
      </w:r>
      <w:r w:rsidR="00567A08">
        <w:rPr>
          <w:rFonts w:ascii="Lato" w:hAnsi="Lato" w:cs="Arial"/>
        </w:rPr>
        <w:t xml:space="preserve">borada por </w:t>
      </w:r>
      <w:r w:rsidR="00381EE5">
        <w:rPr>
          <w:rFonts w:ascii="Lato" w:hAnsi="Lato" w:cs="Arial"/>
        </w:rPr>
        <w:t>la</w:t>
      </w:r>
      <w:r w:rsidR="007117E2">
        <w:rPr>
          <w:rFonts w:ascii="Lato" w:hAnsi="Lato" w:cs="Arial"/>
        </w:rPr>
        <w:t xml:space="preserve"> </w:t>
      </w:r>
      <w:r w:rsidR="00381EE5">
        <w:rPr>
          <w:rFonts w:ascii="Lato" w:hAnsi="Lato" w:cs="Arial"/>
        </w:rPr>
        <w:t>citada</w:t>
      </w:r>
      <w:r w:rsidR="009B474C">
        <w:rPr>
          <w:rFonts w:ascii="Lato" w:hAnsi="Lato" w:cs="Arial"/>
        </w:rPr>
        <w:t xml:space="preserve"> servidor</w:t>
      </w:r>
      <w:r w:rsidR="00381EE5">
        <w:rPr>
          <w:rFonts w:ascii="Lato" w:hAnsi="Lato" w:cs="Arial"/>
        </w:rPr>
        <w:t>a</w:t>
      </w:r>
      <w:r w:rsidR="00D6761B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públic</w:t>
      </w:r>
      <w:r w:rsidR="00381EE5">
        <w:rPr>
          <w:rFonts w:ascii="Lato" w:hAnsi="Lato" w:cs="Arial"/>
        </w:rPr>
        <w:t xml:space="preserve">a, </w:t>
      </w:r>
      <w:r w:rsidR="005373DD">
        <w:rPr>
          <w:rFonts w:ascii="Lato" w:hAnsi="Lato" w:cs="Arial"/>
        </w:rPr>
        <w:t>para los</w:t>
      </w:r>
      <w:r w:rsidR="00381EE5">
        <w:rPr>
          <w:rFonts w:ascii="Lato" w:hAnsi="Lato" w:cs="Arial"/>
        </w:rPr>
        <w:t xml:space="preserve"> fines legales correspondientes</w:t>
      </w:r>
      <w:r w:rsidR="00E90C1C">
        <w:rPr>
          <w:rFonts w:ascii="Lato" w:hAnsi="Lato" w:cs="Arial"/>
          <w:b/>
        </w:rPr>
        <w:t xml:space="preserve">. </w:t>
      </w: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8C4AA6">
        <w:rPr>
          <w:rFonts w:ascii="Lato" w:hAnsi="Lato" w:cs="Arial"/>
        </w:rPr>
        <w:t xml:space="preserve">nueve </w:t>
      </w:r>
      <w:r w:rsidR="005373DD">
        <w:rPr>
          <w:rFonts w:ascii="Lato" w:hAnsi="Lato" w:cs="Arial"/>
        </w:rPr>
        <w:t xml:space="preserve">horas con </w:t>
      </w:r>
      <w:r w:rsidR="008C4AA6">
        <w:rPr>
          <w:rFonts w:ascii="Lato" w:hAnsi="Lato" w:cs="Arial"/>
        </w:rPr>
        <w:t>treinta</w:t>
      </w:r>
      <w:r w:rsidR="00D94941" w:rsidRPr="00762A70">
        <w:rPr>
          <w:rFonts w:ascii="Lato" w:hAnsi="Lato" w:cs="Arial"/>
        </w:rPr>
        <w:t xml:space="preserve"> </w:t>
      </w:r>
      <w:r w:rsidR="005373DD">
        <w:rPr>
          <w:rFonts w:ascii="Lato" w:hAnsi="Lato" w:cs="Arial"/>
        </w:rPr>
        <w:t>minutos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8C4AA6">
        <w:rPr>
          <w:rFonts w:ascii="Lato" w:hAnsi="Lato" w:cs="Arial"/>
        </w:rPr>
        <w:t>veinti</w:t>
      </w:r>
      <w:r w:rsidR="005373DD">
        <w:rPr>
          <w:rFonts w:ascii="Lato" w:hAnsi="Lato" w:cs="Arial"/>
        </w:rPr>
        <w:t>dós</w:t>
      </w:r>
      <w:r w:rsidR="008C4AA6">
        <w:rPr>
          <w:rFonts w:ascii="Lato" w:hAnsi="Lato" w:cs="Arial"/>
        </w:rPr>
        <w:t xml:space="preserve"> </w:t>
      </w:r>
      <w:r w:rsidR="002744E3">
        <w:rPr>
          <w:rFonts w:ascii="Lato" w:hAnsi="Lato" w:cs="Arial"/>
        </w:rPr>
        <w:t>d</w:t>
      </w:r>
      <w:r w:rsidR="007117E2">
        <w:rPr>
          <w:rFonts w:ascii="Lato" w:hAnsi="Lato" w:cs="Arial"/>
        </w:rPr>
        <w:t xml:space="preserve">e </w:t>
      </w:r>
      <w:r w:rsidR="008C4AA6">
        <w:rPr>
          <w:rFonts w:ascii="Lato" w:hAnsi="Lato" w:cs="Arial"/>
        </w:rPr>
        <w:t>abril</w:t>
      </w:r>
      <w:r w:rsidR="00262E46">
        <w:rPr>
          <w:rFonts w:ascii="Lato" w:hAnsi="Lato" w:cs="Arial"/>
        </w:rPr>
        <w:t xml:space="preserve"> </w:t>
      </w:r>
      <w:r w:rsidR="00106E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5373DD" w:rsidRPr="00437362" w:rsidRDefault="005373DD" w:rsidP="005373DD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p w:rsidR="005373DD" w:rsidRDefault="005373DD" w:rsidP="0059282E">
      <w:pPr>
        <w:jc w:val="center"/>
        <w:rPr>
          <w:rFonts w:ascii="Lato" w:hAnsi="Lato" w:cs="Arial"/>
          <w:bCs/>
        </w:rPr>
      </w:pPr>
    </w:p>
    <w:p w:rsidR="005373DD" w:rsidRPr="005373DD" w:rsidRDefault="005373DD" w:rsidP="005373DD">
      <w:pPr>
        <w:jc w:val="center"/>
        <w:rPr>
          <w:szCs w:val="18"/>
        </w:rPr>
      </w:pPr>
      <w:r w:rsidRPr="00FF38FA">
        <w:rPr>
          <w:rFonts w:ascii="Lato" w:hAnsi="Lato"/>
          <w:sz w:val="20"/>
          <w:szCs w:val="20"/>
        </w:rPr>
        <w:t>Firma electrónica con fundamento en los artículos 1 fracciones I y II, 2, 3 fracciones I, II, XIX, XX, XXV y XXX, 4 fracciones I y II, 12 y 13, del Reglamento para el Uso del Expediente Electrónico y la Firma Electrónica Certificada del Poder Judicia</w:t>
      </w:r>
      <w:r>
        <w:rPr>
          <w:rFonts w:ascii="Lato" w:hAnsi="Lato"/>
          <w:sz w:val="20"/>
          <w:szCs w:val="20"/>
        </w:rPr>
        <w:t>l del Estado de Baja California</w:t>
      </w:r>
    </w:p>
    <w:sectPr w:rsidR="005373DD" w:rsidRPr="005373DD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48" w:rsidRDefault="00E11748" w:rsidP="00CC10D2">
      <w:r>
        <w:separator/>
      </w:r>
    </w:p>
  </w:endnote>
  <w:endnote w:type="continuationSeparator" w:id="0">
    <w:p w:rsidR="00E11748" w:rsidRDefault="00E11748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8C4AA6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8C4AA6">
            <w:rPr>
              <w:rFonts w:ascii="Lato" w:hAnsi="Lato" w:cs="Arial"/>
            </w:rPr>
            <w:t xml:space="preserve"> No. CT/SE/26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A01ABA">
            <w:rPr>
              <w:rFonts w:ascii="Lato" w:hAnsi="Lato" w:cs="Arial"/>
              <w:noProof/>
            </w:rPr>
            <w:t>8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E11748">
            <w:fldChar w:fldCharType="begin"/>
          </w:r>
          <w:r w:rsidR="00E11748">
            <w:instrText xml:space="preserve"> NUMPAGES   \* MERGEFORMAT </w:instrText>
          </w:r>
          <w:r w:rsidR="00E11748">
            <w:fldChar w:fldCharType="separate"/>
          </w:r>
          <w:r w:rsidR="00A01ABA" w:rsidRPr="00A01ABA">
            <w:rPr>
              <w:rFonts w:ascii="Lato" w:hAnsi="Lato" w:cs="Arial"/>
              <w:noProof/>
            </w:rPr>
            <w:t>8</w:t>
          </w:r>
          <w:r w:rsidR="00E11748">
            <w:rPr>
              <w:rFonts w:ascii="Lato" w:hAnsi="Lato" w:cs="Arial"/>
              <w:noProof/>
            </w:rPr>
            <w:fldChar w:fldCharType="end"/>
          </w:r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8C4AA6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8C4AA6">
            <w:rPr>
              <w:rFonts w:ascii="Lato" w:hAnsi="Lato" w:cs="Arial"/>
            </w:rPr>
            <w:t>No. CT/SE/26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CB05E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CB05EA" w:rsidRPr="00DA524A">
            <w:rPr>
              <w:rFonts w:ascii="Lato" w:hAnsi="Lato" w:cs="Arial"/>
            </w:rPr>
            <w:fldChar w:fldCharType="separate"/>
          </w:r>
          <w:r w:rsidR="00A01ABA">
            <w:rPr>
              <w:rFonts w:ascii="Lato" w:hAnsi="Lato" w:cs="Arial"/>
              <w:noProof/>
            </w:rPr>
            <w:t>1</w:t>
          </w:r>
          <w:r w:rsidR="00CB05E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r w:rsidR="00E11748">
            <w:fldChar w:fldCharType="begin"/>
          </w:r>
          <w:r w:rsidR="00E11748">
            <w:instrText xml:space="preserve"> NUMPAGES   \* MERGEFORMAT </w:instrText>
          </w:r>
          <w:r w:rsidR="00E11748">
            <w:fldChar w:fldCharType="separate"/>
          </w:r>
          <w:r w:rsidR="00A01ABA" w:rsidRPr="00A01ABA">
            <w:rPr>
              <w:rFonts w:ascii="Lato" w:hAnsi="Lato" w:cs="Arial"/>
              <w:noProof/>
            </w:rPr>
            <w:t>8</w:t>
          </w:r>
          <w:r w:rsidR="00E11748">
            <w:rPr>
              <w:rFonts w:ascii="Lato" w:hAnsi="Lato" w:cs="Arial"/>
              <w:noProof/>
            </w:rPr>
            <w:fldChar w:fldCharType="end"/>
          </w:r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48" w:rsidRDefault="00E11748" w:rsidP="00CC10D2">
      <w:r>
        <w:separator/>
      </w:r>
    </w:p>
  </w:footnote>
  <w:footnote w:type="continuationSeparator" w:id="0">
    <w:p w:rsidR="00E11748" w:rsidRDefault="00E11748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1D2E"/>
    <w:rsid w:val="00002F90"/>
    <w:rsid w:val="0000480E"/>
    <w:rsid w:val="00005557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6132"/>
    <w:rsid w:val="00027049"/>
    <w:rsid w:val="00027705"/>
    <w:rsid w:val="00032067"/>
    <w:rsid w:val="00032C47"/>
    <w:rsid w:val="00033A53"/>
    <w:rsid w:val="0003645F"/>
    <w:rsid w:val="000378A4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3796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618F"/>
    <w:rsid w:val="000F79D4"/>
    <w:rsid w:val="00101CA7"/>
    <w:rsid w:val="001039F3"/>
    <w:rsid w:val="00105162"/>
    <w:rsid w:val="00105399"/>
    <w:rsid w:val="00105B7C"/>
    <w:rsid w:val="001063D2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77FC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2E46"/>
    <w:rsid w:val="0026435A"/>
    <w:rsid w:val="00265DEE"/>
    <w:rsid w:val="0027082F"/>
    <w:rsid w:val="00271B0C"/>
    <w:rsid w:val="00272D97"/>
    <w:rsid w:val="002744E3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9773E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1EE5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448F6"/>
    <w:rsid w:val="0045147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373DD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4E45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5E48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13B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3915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2B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624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7E2"/>
    <w:rsid w:val="007119B5"/>
    <w:rsid w:val="007121BD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1B9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6C0A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424A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87250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4AA6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45A"/>
    <w:rsid w:val="00910B47"/>
    <w:rsid w:val="00910D23"/>
    <w:rsid w:val="00912682"/>
    <w:rsid w:val="00912D7C"/>
    <w:rsid w:val="009136B4"/>
    <w:rsid w:val="009136C7"/>
    <w:rsid w:val="00913A25"/>
    <w:rsid w:val="009171EA"/>
    <w:rsid w:val="00917293"/>
    <w:rsid w:val="00920EF1"/>
    <w:rsid w:val="00921CC3"/>
    <w:rsid w:val="00923BDC"/>
    <w:rsid w:val="00926420"/>
    <w:rsid w:val="00931B02"/>
    <w:rsid w:val="00934328"/>
    <w:rsid w:val="00935ACA"/>
    <w:rsid w:val="00936279"/>
    <w:rsid w:val="0094001F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74C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352F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1ABA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93A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6AA3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1E1F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5FE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32AB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4A3B"/>
    <w:rsid w:val="00C45056"/>
    <w:rsid w:val="00C45357"/>
    <w:rsid w:val="00C47457"/>
    <w:rsid w:val="00C50D9C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A7A17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0828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1465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6761B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1748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A83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50E4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0D4B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2BE"/>
    <w:rsid w:val="00FF4216"/>
    <w:rsid w:val="00FF7093"/>
    <w:rsid w:val="00FF75D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5DD1-4F9D-4921-B75A-D31646F7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14132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 Uribe Perdomo</cp:lastModifiedBy>
  <cp:revision>4</cp:revision>
  <cp:lastPrinted>2021-04-22T16:39:00Z</cp:lastPrinted>
  <dcterms:created xsi:type="dcterms:W3CDTF">2021-04-22T16:39:00Z</dcterms:created>
  <dcterms:modified xsi:type="dcterms:W3CDTF">2021-04-22T16:48:00Z</dcterms:modified>
</cp:coreProperties>
</file>