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CT/SE/30</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433667" w:rsidRPr="00130A7A" w:rsidRDefault="00433667" w:rsidP="00D7214C">
      <w:pPr>
        <w:jc w:val="right"/>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DB66DD">
        <w:rPr>
          <w:rFonts w:ascii="Lato" w:hAnsi="Lato" w:cs="Arial"/>
        </w:rPr>
        <w:t xml:space="preserve">treinta </w:t>
      </w:r>
      <w:r w:rsidR="009E38C5">
        <w:rPr>
          <w:rFonts w:ascii="Lato" w:hAnsi="Lato" w:cs="Arial"/>
        </w:rPr>
        <w:t>d</w:t>
      </w:r>
      <w:r w:rsidR="002D3E91">
        <w:rPr>
          <w:rFonts w:ascii="Lato" w:hAnsi="Lato" w:cs="Arial"/>
        </w:rPr>
        <w:t xml:space="preserve">e </w:t>
      </w:r>
      <w:r w:rsidR="00DB66DD">
        <w:rPr>
          <w:rFonts w:ascii="Lato" w:hAnsi="Lato" w:cs="Arial"/>
        </w:rPr>
        <w:t>abril</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433667"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 xml:space="preserve">Rosa Maria Ibarra Osuna,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CT/SE/30</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433667" w:rsidRDefault="00DF76A5" w:rsidP="0032263B">
      <w:pPr>
        <w:spacing w:before="60" w:line="336" w:lineRule="auto"/>
        <w:jc w:val="both"/>
        <w:rPr>
          <w:rFonts w:ascii="Lato" w:hAnsi="Lato" w:cs="Arial"/>
          <w:sz w:val="12"/>
        </w:rPr>
      </w:pPr>
    </w:p>
    <w:p w:rsidR="00433667" w:rsidRDefault="00433667" w:rsidP="00433667">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433667" w:rsidRPr="00433667" w:rsidRDefault="00433667" w:rsidP="00433667">
      <w:pPr>
        <w:spacing w:before="60" w:line="336" w:lineRule="auto"/>
        <w:jc w:val="both"/>
        <w:rPr>
          <w:rFonts w:ascii="Lato" w:hAnsi="Lato" w:cs="Arial"/>
          <w:sz w:val="10"/>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Default="00DB66DD" w:rsidP="00C96757">
      <w:pPr>
        <w:spacing w:before="60" w:line="348" w:lineRule="auto"/>
        <w:jc w:val="both"/>
        <w:rPr>
          <w:rFonts w:ascii="Lato" w:hAnsi="Lato" w:cs="Arial"/>
          <w:b/>
        </w:rPr>
      </w:pPr>
      <w:r>
        <w:rPr>
          <w:rFonts w:ascii="Lato" w:hAnsi="Lato" w:cs="Arial"/>
          <w:b/>
        </w:rPr>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433667">
        <w:rPr>
          <w:rFonts w:ascii="Lato" w:hAnsi="Lato" w:cs="Arial"/>
          <w:b/>
        </w:rPr>
        <w:t>11</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Pr>
          <w:rFonts w:ascii="Lato" w:hAnsi="Lato" w:cs="Arial"/>
        </w:rPr>
        <w:t>421721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9C6F7A">
        <w:rPr>
          <w:rFonts w:ascii="Lato" w:hAnsi="Lato" w:cs="Arial"/>
          <w:b/>
        </w:rPr>
        <w:t xml:space="preserve">los Administradores Judiciales del Sistema de Justicia Penal del Poder Judicial del </w:t>
      </w:r>
      <w:r w:rsidR="009D2773">
        <w:rPr>
          <w:rFonts w:ascii="Lato" w:hAnsi="Lato" w:cs="Arial"/>
          <w:b/>
        </w:rPr>
        <w:t>Estado de Baja California.</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BA7836">
        <w:rPr>
          <w:rFonts w:ascii="Lato" w:hAnsi="Lato" w:cs="Arial"/>
          <w:b/>
        </w:rPr>
        <w:t>o</w:t>
      </w:r>
      <w:r w:rsidR="00187627">
        <w:rPr>
          <w:rFonts w:ascii="Lato" w:hAnsi="Lato" w:cs="Arial"/>
          <w:b/>
        </w:rPr>
        <w:t xml:space="preserve"> </w:t>
      </w:r>
      <w:r w:rsidR="00990BE8">
        <w:rPr>
          <w:rFonts w:ascii="Lato" w:hAnsi="Lato" w:cs="Arial"/>
          <w:b/>
        </w:rPr>
        <w:t>por</w:t>
      </w:r>
      <w:r w:rsidR="00DB66DD">
        <w:rPr>
          <w:rFonts w:ascii="Lato" w:hAnsi="Lato" w:cs="Arial"/>
          <w:b/>
        </w:rPr>
        <w:t xml:space="preserve"> los Administradores Judiciales del Sistema de Justicia Penal</w:t>
      </w:r>
      <w:r w:rsidR="001F72B2">
        <w:rPr>
          <w:rFonts w:ascii="Lato" w:hAnsi="Lato" w:cs="Arial"/>
          <w:b/>
        </w:rPr>
        <w:t xml:space="preserve"> </w:t>
      </w:r>
      <w:r w:rsidR="00C91A94">
        <w:rPr>
          <w:rFonts w:ascii="Lato" w:hAnsi="Lato" w:cs="Arial"/>
          <w:b/>
        </w:rPr>
        <w:t xml:space="preserve">del Poder Judicial </w:t>
      </w:r>
      <w:r w:rsidR="00CD30B1">
        <w:rPr>
          <w:rFonts w:ascii="Lato" w:hAnsi="Lato" w:cs="Arial"/>
          <w:b/>
        </w:rPr>
        <w:t>del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DB66DD" w:rsidRDefault="00DB66DD" w:rsidP="00375896">
      <w:pPr>
        <w:spacing w:line="360" w:lineRule="auto"/>
        <w:jc w:val="both"/>
        <w:rPr>
          <w:rFonts w:ascii="Lato" w:hAnsi="Lato" w:cs="Arial"/>
        </w:rPr>
      </w:pPr>
      <w:r>
        <w:rPr>
          <w:rFonts w:ascii="Lato" w:hAnsi="Lato" w:cs="Arial"/>
        </w:rPr>
        <w:t>1) Como antecedente tenemos que en la solicitud se pide información en formato de datos abiertos respecto a estadística relacionada con el número total de todo tipo de asuntos ingresados; número de imputados registrados</w:t>
      </w:r>
      <w:r w:rsidR="0069213D">
        <w:rPr>
          <w:rFonts w:ascii="Lato" w:hAnsi="Lato" w:cs="Arial"/>
        </w:rPr>
        <w:t xml:space="preserve"> en carpetas de investigación judicializadas y en causas penales iniciadas</w:t>
      </w:r>
      <w:r>
        <w:rPr>
          <w:rFonts w:ascii="Lato" w:hAnsi="Lato" w:cs="Arial"/>
        </w:rPr>
        <w:t>; nú</w:t>
      </w:r>
      <w:r w:rsidR="0069213D">
        <w:rPr>
          <w:rFonts w:ascii="Lato" w:hAnsi="Lato" w:cs="Arial"/>
        </w:rPr>
        <w:t>m</w:t>
      </w:r>
      <w:r>
        <w:rPr>
          <w:rFonts w:ascii="Lato" w:hAnsi="Lato" w:cs="Arial"/>
        </w:rPr>
        <w:t xml:space="preserve">ero total de causas penales iniciadas durante el año, con y sin detenido; </w:t>
      </w:r>
      <w:r w:rsidR="0069213D">
        <w:rPr>
          <w:rFonts w:ascii="Lato" w:hAnsi="Lato" w:cs="Arial"/>
        </w:rPr>
        <w:t>número de víctimas registradas en causas penales iniciadas; número de detenciones calificadas por el Juez de control; número de órdenes de aprehensión solicitadas por el Ministerio Público; número de órdenes de comparecencia solicitadas; conflictos penales; total de causas penales finalizadas durante el año desglosadas por los diversos procedimientos; total de medidas cautelares solicitadas y de ellas, las concedidas, desagregadas por clase o tipo; número de audiencias programadas, de ellas las celebradas y cuantas diferidas; entre otros diversos datos.</w:t>
      </w:r>
    </w:p>
    <w:p w:rsidR="00DB66DD" w:rsidRDefault="00DB66DD" w:rsidP="00375896">
      <w:pPr>
        <w:spacing w:line="360" w:lineRule="auto"/>
        <w:jc w:val="both"/>
        <w:rPr>
          <w:rFonts w:ascii="Lato" w:hAnsi="Lato" w:cs="Arial"/>
        </w:rPr>
      </w:pPr>
    </w:p>
    <w:p w:rsidR="00040DBD" w:rsidRDefault="007C2B36" w:rsidP="00AD2BFF">
      <w:pPr>
        <w:spacing w:before="60" w:line="348" w:lineRule="auto"/>
        <w:jc w:val="both"/>
        <w:rPr>
          <w:rFonts w:ascii="Lato" w:hAnsi="Lato" w:cs="Arial"/>
        </w:rPr>
      </w:pPr>
      <w:r>
        <w:rPr>
          <w:rFonts w:ascii="Lato" w:hAnsi="Lato" w:cs="Arial"/>
        </w:rPr>
        <w:t xml:space="preserve">2) </w:t>
      </w:r>
      <w:r w:rsidR="00A92B84">
        <w:rPr>
          <w:rFonts w:ascii="Lato" w:hAnsi="Lato" w:cs="Arial"/>
        </w:rPr>
        <w:t xml:space="preserve">Por </w:t>
      </w:r>
      <w:r w:rsidR="001F72B2">
        <w:rPr>
          <w:rFonts w:ascii="Lato" w:hAnsi="Lato" w:cs="Arial"/>
        </w:rPr>
        <w:t>oficio</w:t>
      </w:r>
      <w:r w:rsidR="00AD2BFF">
        <w:rPr>
          <w:rFonts w:ascii="Lato" w:hAnsi="Lato" w:cs="Arial"/>
        </w:rPr>
        <w:t xml:space="preserve"> </w:t>
      </w:r>
      <w:r w:rsidR="0069213D">
        <w:rPr>
          <w:rFonts w:ascii="Lato" w:hAnsi="Lato" w:cs="Arial"/>
        </w:rPr>
        <w:t>750</w:t>
      </w:r>
      <w:r w:rsidR="00AD2BFF">
        <w:rPr>
          <w:rFonts w:ascii="Lato" w:hAnsi="Lato" w:cs="Arial"/>
        </w:rPr>
        <w:t>/UT/MXL/2021</w:t>
      </w:r>
      <w:r w:rsidR="0069213D">
        <w:rPr>
          <w:rFonts w:ascii="Lato" w:hAnsi="Lato" w:cs="Arial"/>
        </w:rPr>
        <w:t>,</w:t>
      </w:r>
      <w:r w:rsidR="00AD2BFF">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AD2BFF">
        <w:rPr>
          <w:rFonts w:ascii="Lato" w:hAnsi="Lato" w:cs="Arial"/>
        </w:rPr>
        <w:t xml:space="preserve">el </w:t>
      </w:r>
      <w:r w:rsidR="0069213D">
        <w:rPr>
          <w:rFonts w:ascii="Lato" w:hAnsi="Lato" w:cs="Arial"/>
        </w:rPr>
        <w:t>26</w:t>
      </w:r>
      <w:r w:rsidR="00040DBD">
        <w:rPr>
          <w:rFonts w:ascii="Lato" w:hAnsi="Lato" w:cs="Arial"/>
        </w:rPr>
        <w:t xml:space="preserve"> </w:t>
      </w:r>
      <w:r w:rsidR="00AD2BFF">
        <w:rPr>
          <w:rFonts w:ascii="Lato" w:hAnsi="Lato" w:cs="Arial"/>
        </w:rPr>
        <w:t xml:space="preserve">de </w:t>
      </w:r>
      <w:r w:rsidR="0069213D">
        <w:rPr>
          <w:rFonts w:ascii="Lato" w:hAnsi="Lato" w:cs="Arial"/>
        </w:rPr>
        <w:t>este mes de abril</w:t>
      </w:r>
      <w:r w:rsidR="00AD2BFF">
        <w:rPr>
          <w:rFonts w:ascii="Lato" w:hAnsi="Lato" w:cs="Arial"/>
        </w:rPr>
        <w:t xml:space="preserve">, </w:t>
      </w:r>
      <w:r w:rsidR="00A92B84">
        <w:rPr>
          <w:rFonts w:ascii="Lato" w:hAnsi="Lato" w:cs="Arial"/>
        </w:rPr>
        <w:t xml:space="preserve">se requirió a las autoridades competentes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354736">
        <w:rPr>
          <w:rFonts w:ascii="Lato" w:hAnsi="Lato" w:cs="Arial"/>
        </w:rPr>
        <w:t>l</w:t>
      </w:r>
      <w:r w:rsidR="00040DBD">
        <w:rPr>
          <w:rFonts w:ascii="Lato" w:hAnsi="Lato" w:cs="Arial"/>
        </w:rPr>
        <w:t xml:space="preserve">os </w:t>
      </w:r>
      <w:r w:rsidR="00433667">
        <w:rPr>
          <w:rFonts w:ascii="Lato" w:hAnsi="Lato" w:cs="Arial"/>
        </w:rPr>
        <w:t xml:space="preserve">Administradores </w:t>
      </w:r>
      <w:r w:rsidR="00040DBD">
        <w:rPr>
          <w:rFonts w:ascii="Lato" w:hAnsi="Lato" w:cs="Arial"/>
        </w:rPr>
        <w:t>Judiciales del Sistema de Justicia Penal del Poder Judicial del Estado</w:t>
      </w:r>
      <w:r w:rsidR="001F72B2">
        <w:rPr>
          <w:rFonts w:ascii="Lato" w:hAnsi="Lato" w:cs="Arial"/>
        </w:rPr>
        <w:t xml:space="preserve">, por oficio </w:t>
      </w:r>
      <w:r w:rsidR="00040DBD">
        <w:rPr>
          <w:rFonts w:ascii="Lato" w:hAnsi="Lato" w:cs="Arial"/>
        </w:rPr>
        <w:t>SJPO/</w:t>
      </w:r>
      <w:r w:rsidR="00354736">
        <w:rPr>
          <w:rFonts w:ascii="Lato" w:hAnsi="Lato" w:cs="Arial"/>
        </w:rPr>
        <w:t>203</w:t>
      </w:r>
      <w:r w:rsidR="00040DBD">
        <w:rPr>
          <w:rFonts w:ascii="Lato" w:hAnsi="Lato" w:cs="Arial"/>
        </w:rPr>
        <w:t xml:space="preserve">/2021, del </w:t>
      </w:r>
      <w:r w:rsidR="00354736">
        <w:rPr>
          <w:rFonts w:ascii="Lato" w:hAnsi="Lato" w:cs="Arial"/>
        </w:rPr>
        <w:t>28</w:t>
      </w:r>
      <w:r w:rsidR="00040DBD">
        <w:rPr>
          <w:rFonts w:ascii="Lato" w:hAnsi="Lato" w:cs="Arial"/>
        </w:rPr>
        <w:t xml:space="preserve"> de </w:t>
      </w:r>
      <w:r w:rsidR="00354736">
        <w:rPr>
          <w:rFonts w:ascii="Lato" w:hAnsi="Lato" w:cs="Arial"/>
        </w:rPr>
        <w:t>los corrientes</w:t>
      </w:r>
      <w:r w:rsidR="00040DBD">
        <w:rPr>
          <w:rFonts w:ascii="Lato" w:hAnsi="Lato" w:cs="Arial"/>
        </w:rPr>
        <w:t xml:space="preserve">, solicitaron </w:t>
      </w:r>
      <w:r w:rsidR="009B7F4D">
        <w:rPr>
          <w:rFonts w:ascii="Lato" w:hAnsi="Lato" w:cs="Arial"/>
        </w:rPr>
        <w:t xml:space="preserve">que se autorice </w:t>
      </w:r>
      <w:r w:rsidR="007E764E">
        <w:rPr>
          <w:rFonts w:ascii="Lato" w:hAnsi="Lato" w:cs="Arial"/>
        </w:rPr>
        <w:t>una ampliación 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xml:space="preserve">, </w:t>
      </w:r>
      <w:r w:rsidR="007E764E">
        <w:rPr>
          <w:rFonts w:ascii="Lato" w:hAnsi="Lato" w:cs="Arial"/>
        </w:rPr>
        <w:t xml:space="preserve"> </w:t>
      </w:r>
      <w:r w:rsidR="00040DBD">
        <w:rPr>
          <w:rFonts w:ascii="Lato" w:hAnsi="Lato" w:cs="Arial"/>
        </w:rPr>
        <w:t>manifestando</w:t>
      </w:r>
      <w:r w:rsidR="00040DBD" w:rsidRPr="00040DBD">
        <w:rPr>
          <w:rFonts w:ascii="Lato" w:hAnsi="Lato" w:cs="Arial"/>
        </w:rPr>
        <w:t xml:space="preserve"> </w:t>
      </w:r>
      <w:r w:rsidR="00040DBD">
        <w:rPr>
          <w:rFonts w:ascii="Lato" w:hAnsi="Lato" w:cs="Arial"/>
        </w:rPr>
        <w:t>que</w:t>
      </w:r>
      <w:r w:rsidR="00433667">
        <w:rPr>
          <w:rFonts w:ascii="Lato" w:hAnsi="Lato" w:cs="Arial"/>
        </w:rPr>
        <w:t>:</w:t>
      </w:r>
      <w:r w:rsidR="00040DBD">
        <w:rPr>
          <w:rFonts w:ascii="Lato" w:hAnsi="Lato" w:cs="Arial"/>
        </w:rPr>
        <w:t xml:space="preserve"> </w:t>
      </w:r>
      <w:r w:rsidR="00040DBD" w:rsidRPr="00040DBD">
        <w:rPr>
          <w:rFonts w:ascii="Lato" w:hAnsi="Lato" w:cs="Arial"/>
          <w:i/>
        </w:rPr>
        <w:t xml:space="preserve">“(…) el desglose de la información que se solicita es muy específico </w:t>
      </w:r>
      <w:r w:rsidR="00354736">
        <w:rPr>
          <w:rFonts w:ascii="Lato" w:hAnsi="Lato" w:cs="Arial"/>
          <w:i/>
        </w:rPr>
        <w:t xml:space="preserve">y extenso </w:t>
      </w:r>
      <w:r w:rsidR="00040DBD" w:rsidRPr="00040DBD">
        <w:rPr>
          <w:rFonts w:ascii="Lato" w:hAnsi="Lato" w:cs="Arial"/>
          <w:i/>
        </w:rPr>
        <w:t>por las características que pide</w:t>
      </w:r>
      <w:r w:rsidR="00354736">
        <w:rPr>
          <w:rFonts w:ascii="Lato" w:hAnsi="Lato" w:cs="Arial"/>
          <w:i/>
        </w:rPr>
        <w:t>,</w:t>
      </w:r>
      <w:r w:rsidR="00040DBD" w:rsidRPr="00040DBD">
        <w:rPr>
          <w:rFonts w:ascii="Lato" w:hAnsi="Lato" w:cs="Arial"/>
          <w:i/>
        </w:rPr>
        <w:t xml:space="preserve"> por lo que no es posible atender y colmar el ejercicio del derecho a la información en el plazo legal otorgado (…)”</w:t>
      </w:r>
      <w:r w:rsidR="00040DBD">
        <w:rPr>
          <w:rFonts w:ascii="Lato" w:hAnsi="Lato" w:cs="Arial"/>
        </w:rPr>
        <w:t>.</w:t>
      </w:r>
    </w:p>
    <w:p w:rsidR="00040DBD" w:rsidRDefault="00040DBD" w:rsidP="00AD2BFF">
      <w:pPr>
        <w:spacing w:before="60" w:line="348"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lastRenderedPageBreak/>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216B2E">
        <w:rPr>
          <w:rFonts w:ascii="Lato" w:hAnsi="Lato" w:cs="Arial"/>
        </w:rPr>
        <w:t>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w:t>
      </w:r>
      <w:r w:rsidR="00EA0012">
        <w:rPr>
          <w:rFonts w:ascii="Lato" w:hAnsi="Lato" w:cs="Arial"/>
        </w:rPr>
        <w:t xml:space="preserve">los </w:t>
      </w:r>
      <w:r w:rsidR="00EA0012" w:rsidRPr="00EA0012">
        <w:rPr>
          <w:rFonts w:ascii="Lato" w:hAnsi="Lato" w:cs="Arial"/>
          <w:b/>
        </w:rPr>
        <w:lastRenderedPageBreak/>
        <w:t>Administradores Judiciales</w:t>
      </w:r>
      <w:r w:rsidR="00EA0012">
        <w:rPr>
          <w:rFonts w:ascii="Lato" w:hAnsi="Lato" w:cs="Arial"/>
        </w:rPr>
        <w:t xml:space="preserve"> del Sistema de Justicia Penal</w:t>
      </w:r>
      <w:r w:rsidR="00141089">
        <w:rPr>
          <w:rFonts w:ascii="Lato" w:hAnsi="Lato" w:cs="Arial"/>
        </w:rPr>
        <w:t xml:space="preserve"> </w:t>
      </w:r>
      <w:r w:rsidR="0083779D" w:rsidRPr="0083779D">
        <w:rPr>
          <w:rFonts w:ascii="Lato" w:hAnsi="Lato" w:cs="Arial"/>
        </w:rPr>
        <w:t xml:space="preserve">del Poder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354736">
        <w:rPr>
          <w:rFonts w:ascii="Lato" w:hAnsi="Lato" w:cs="Arial"/>
        </w:rPr>
        <w:t>el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83779D" w:rsidRPr="0016067D">
        <w:rPr>
          <w:rFonts w:ascii="Lato" w:hAnsi="Lato" w:cs="Arial"/>
          <w:b/>
        </w:rPr>
        <w:t>00</w:t>
      </w:r>
      <w:r w:rsidR="00354736">
        <w:rPr>
          <w:rFonts w:ascii="Lato" w:hAnsi="Lato" w:cs="Arial"/>
          <w:b/>
        </w:rPr>
        <w:t>421721</w:t>
      </w:r>
      <w:r w:rsidR="00EA0012">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354736">
        <w:rPr>
          <w:rFonts w:ascii="Lato" w:hAnsi="Lato" w:cs="Arial"/>
        </w:rPr>
        <w:t>l</w:t>
      </w:r>
      <w:r w:rsidR="00652952" w:rsidRPr="002F22C2">
        <w:rPr>
          <w:rFonts w:ascii="Lato" w:hAnsi="Lato" w:cs="Arial"/>
        </w:rPr>
        <w:t xml:space="preserve"> </w:t>
      </w:r>
      <w:r w:rsidR="00216B2E">
        <w:rPr>
          <w:rFonts w:ascii="Lato" w:hAnsi="Lato" w:cs="Arial"/>
        </w:rPr>
        <w:t xml:space="preserve">peticionario de la solicitud </w:t>
      </w:r>
      <w:r w:rsidR="00354736">
        <w:rPr>
          <w:rFonts w:ascii="Lato" w:hAnsi="Lato" w:cs="Arial"/>
        </w:rPr>
        <w:t>registrad</w:t>
      </w:r>
      <w:r w:rsidR="00216B2E">
        <w:rPr>
          <w:rFonts w:ascii="Lato" w:hAnsi="Lato" w:cs="Arial"/>
        </w:rPr>
        <w:t>a</w:t>
      </w:r>
      <w:r w:rsidR="0016067D">
        <w:rPr>
          <w:rFonts w:ascii="Lato" w:hAnsi="Lato" w:cs="Arial"/>
        </w:rPr>
        <w:t xml:space="preserve"> en la Plataforma Nacional de Transparencia con </w:t>
      </w:r>
      <w:r w:rsidR="00216B2E">
        <w:rPr>
          <w:rFonts w:ascii="Lato" w:hAnsi="Lato" w:cs="Arial"/>
        </w:rPr>
        <w:t>e</w:t>
      </w:r>
      <w:r w:rsidR="0016067D">
        <w:rPr>
          <w:rFonts w:ascii="Lato" w:hAnsi="Lato" w:cs="Arial"/>
        </w:rPr>
        <w:t xml:space="preserve">l número de folio </w:t>
      </w:r>
      <w:r w:rsidR="0016067D" w:rsidRPr="0016067D">
        <w:rPr>
          <w:rFonts w:ascii="Lato" w:hAnsi="Lato" w:cs="Arial"/>
          <w:b/>
        </w:rPr>
        <w:t>00</w:t>
      </w:r>
      <w:r w:rsidR="00354736">
        <w:rPr>
          <w:rFonts w:ascii="Lato" w:hAnsi="Lato" w:cs="Arial"/>
          <w:b/>
        </w:rPr>
        <w:t>4217</w:t>
      </w:r>
      <w:r w:rsidR="0016067D" w:rsidRPr="0016067D">
        <w:rPr>
          <w:rFonts w:ascii="Lato" w:hAnsi="Lato" w:cs="Arial"/>
          <w:b/>
        </w:rPr>
        <w:t>21</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C57BBB">
        <w:rPr>
          <w:rFonts w:ascii="Lato" w:hAnsi="Lato" w:cs="Arial"/>
        </w:rPr>
        <w:t xml:space="preserve"> </w:t>
      </w:r>
      <w:r w:rsidR="00354736">
        <w:rPr>
          <w:rFonts w:ascii="Lato" w:hAnsi="Lato" w:cs="Arial"/>
        </w:rPr>
        <w:t>l</w:t>
      </w:r>
      <w:r w:rsidR="0016067D">
        <w:rPr>
          <w:rFonts w:ascii="Lato" w:hAnsi="Lato" w:cs="Arial"/>
        </w:rPr>
        <w:t xml:space="preserve">os Administradores Judiciales del Sistema de Justicia Penal </w:t>
      </w:r>
      <w:r w:rsidR="00E25544">
        <w:rPr>
          <w:rFonts w:ascii="Lato" w:hAnsi="Lato" w:cs="Arial"/>
        </w:rPr>
        <w:t xml:space="preserve">del Poder Judicial de Estado de Baja California,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s </w:t>
      </w:r>
      <w:r w:rsidR="000F3A0A">
        <w:rPr>
          <w:rFonts w:ascii="Lato" w:hAnsi="Lato" w:cs="Arial"/>
        </w:rPr>
        <w:t>saber del nuevo plazo que tiene</w:t>
      </w:r>
      <w:r w:rsidR="00354736">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DB66DD">
        <w:rPr>
          <w:rFonts w:ascii="Lato" w:hAnsi="Lato" w:cs="Arial"/>
        </w:rPr>
        <w:t>treinta</w:t>
      </w:r>
      <w:r w:rsidR="0023258A">
        <w:rPr>
          <w:rFonts w:ascii="Lato" w:hAnsi="Lato" w:cs="Arial"/>
        </w:rPr>
        <w:t xml:space="preserve"> de </w:t>
      </w:r>
      <w:bookmarkStart w:id="0" w:name="_GoBack"/>
      <w:bookmarkEnd w:id="0"/>
      <w:r w:rsidR="00DB66DD">
        <w:rPr>
          <w:rFonts w:ascii="Lato" w:hAnsi="Lato" w:cs="Arial"/>
        </w:rPr>
        <w:t>abril</w:t>
      </w:r>
      <w:r w:rsidR="000E1EB6">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216B2E" w:rsidRDefault="00216B2E" w:rsidP="00C5199F">
      <w:pPr>
        <w:jc w:val="center"/>
        <w:rPr>
          <w:rFonts w:ascii="Lato" w:hAnsi="Lato" w:cs="Arial"/>
          <w:bCs/>
        </w:rPr>
      </w:pPr>
    </w:p>
    <w:p w:rsidR="00216B2E" w:rsidRDefault="00216B2E" w:rsidP="00C5199F">
      <w:pPr>
        <w:jc w:val="center"/>
        <w:rPr>
          <w:rFonts w:ascii="Lato" w:hAnsi="Lato" w:cs="Arial"/>
          <w:bCs/>
        </w:rPr>
      </w:pPr>
    </w:p>
    <w:p w:rsidR="00216B2E" w:rsidRDefault="00216B2E"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 MARIA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216B2E" w:rsidRDefault="00216B2E" w:rsidP="00216B2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433667" w:rsidRDefault="00433667" w:rsidP="00433667">
      <w:pPr>
        <w:jc w:val="center"/>
        <w:rPr>
          <w:rFonts w:ascii="Lato" w:hAnsi="Lato"/>
          <w:sz w:val="20"/>
          <w:szCs w:val="20"/>
        </w:rPr>
      </w:pPr>
    </w:p>
    <w:p w:rsidR="00433667" w:rsidRPr="00DF76A5" w:rsidRDefault="00433667" w:rsidP="00433667">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375896" w:rsidRPr="00DF76A5" w:rsidRDefault="00375896" w:rsidP="00433667">
      <w:pP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72" w:rsidRDefault="00572C72" w:rsidP="00CC10D2">
      <w:r>
        <w:separator/>
      </w:r>
    </w:p>
  </w:endnote>
  <w:endnote w:type="continuationSeparator" w:id="0">
    <w:p w:rsidR="00572C72" w:rsidRDefault="00572C72"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5C3121">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CT/SE/30</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A437A">
            <w:rPr>
              <w:rFonts w:ascii="Lato" w:hAnsi="Lato" w:cs="Arial"/>
              <w:noProof/>
            </w:rPr>
            <w:t>5</w:t>
          </w:r>
          <w:r w:rsidR="001E4EA7" w:rsidRPr="00DA524A">
            <w:rPr>
              <w:rFonts w:ascii="Lato" w:hAnsi="Lato" w:cs="Arial"/>
            </w:rPr>
            <w:fldChar w:fldCharType="end"/>
          </w:r>
          <w:r w:rsidRPr="00DA524A">
            <w:rPr>
              <w:rFonts w:ascii="Lato" w:hAnsi="Lato" w:cs="Arial"/>
            </w:rPr>
            <w:t xml:space="preserve"> de </w:t>
          </w:r>
          <w:r w:rsidR="00572C72">
            <w:fldChar w:fldCharType="begin"/>
          </w:r>
          <w:r w:rsidR="00572C72">
            <w:instrText xml:space="preserve"> NUMPAGES   \* MERGEFORMAT </w:instrText>
          </w:r>
          <w:r w:rsidR="00572C72">
            <w:fldChar w:fldCharType="separate"/>
          </w:r>
          <w:r w:rsidR="009A437A" w:rsidRPr="009A437A">
            <w:rPr>
              <w:rFonts w:ascii="Lato" w:hAnsi="Lato" w:cs="Arial"/>
              <w:noProof/>
            </w:rPr>
            <w:t>5</w:t>
          </w:r>
          <w:r w:rsidR="00572C72">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5C3121">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CT/SE/30</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A437A">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572C72">
            <w:fldChar w:fldCharType="begin"/>
          </w:r>
          <w:r w:rsidR="00572C72">
            <w:instrText xml:space="preserve"> NUMPAGES   \* MERGEFORMAT </w:instrText>
          </w:r>
          <w:r w:rsidR="00572C72">
            <w:fldChar w:fldCharType="separate"/>
          </w:r>
          <w:r w:rsidR="009A437A" w:rsidRPr="009A437A">
            <w:rPr>
              <w:rFonts w:ascii="Lato" w:hAnsi="Lato" w:cs="Arial"/>
              <w:noProof/>
            </w:rPr>
            <w:t>5</w:t>
          </w:r>
          <w:r w:rsidR="00572C72">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72" w:rsidRDefault="00572C72" w:rsidP="00CC10D2">
      <w:r>
        <w:separator/>
      </w:r>
    </w:p>
  </w:footnote>
  <w:footnote w:type="continuationSeparator" w:id="0">
    <w:p w:rsidR="00572C72" w:rsidRDefault="00572C72"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6B2E"/>
    <w:rsid w:val="00217112"/>
    <w:rsid w:val="00217653"/>
    <w:rsid w:val="00220D93"/>
    <w:rsid w:val="00221E37"/>
    <w:rsid w:val="002233C4"/>
    <w:rsid w:val="002248C4"/>
    <w:rsid w:val="00225DDC"/>
    <w:rsid w:val="0023258A"/>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389F"/>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667"/>
    <w:rsid w:val="0043380F"/>
    <w:rsid w:val="004350F7"/>
    <w:rsid w:val="00436DB4"/>
    <w:rsid w:val="00442D21"/>
    <w:rsid w:val="00444444"/>
    <w:rsid w:val="00445058"/>
    <w:rsid w:val="0045071C"/>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2C72"/>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121"/>
    <w:rsid w:val="005C3AE4"/>
    <w:rsid w:val="005C5C55"/>
    <w:rsid w:val="005D1DF6"/>
    <w:rsid w:val="005D3E59"/>
    <w:rsid w:val="005E2641"/>
    <w:rsid w:val="005E48FA"/>
    <w:rsid w:val="005E63D4"/>
    <w:rsid w:val="005E6DAE"/>
    <w:rsid w:val="005E726B"/>
    <w:rsid w:val="005F08D1"/>
    <w:rsid w:val="005F10FF"/>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37A"/>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10A30"/>
    <w:rsid w:val="00C116E8"/>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27EE"/>
    <w:rsid w:val="00E94705"/>
    <w:rsid w:val="00E95217"/>
    <w:rsid w:val="00E96E01"/>
    <w:rsid w:val="00EA0012"/>
    <w:rsid w:val="00EA0CE3"/>
    <w:rsid w:val="00EA0EAF"/>
    <w:rsid w:val="00EA2C81"/>
    <w:rsid w:val="00EA2D0E"/>
    <w:rsid w:val="00EA4623"/>
    <w:rsid w:val="00EA5F4E"/>
    <w:rsid w:val="00EB20A0"/>
    <w:rsid w:val="00EB39A2"/>
    <w:rsid w:val="00EB3E15"/>
    <w:rsid w:val="00EB5940"/>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E1F00-CB1B-45F4-9742-073B8EE7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1453</Words>
  <Characters>7996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2021-04-30T19:03:00Z</cp:lastPrinted>
  <dcterms:created xsi:type="dcterms:W3CDTF">2021-04-30T19:02:00Z</dcterms:created>
  <dcterms:modified xsi:type="dcterms:W3CDTF">2021-04-30T19:12:00Z</dcterms:modified>
</cp:coreProperties>
</file>