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624"/>
      </w:tblGrid>
      <w:tr w:rsidR="001861FA" w:rsidRPr="001861FA" w:rsidTr="001861FA">
        <w:trPr>
          <w:trHeight w:val="360"/>
          <w:tblCellSpacing w:w="0" w:type="dxa"/>
          <w:jc w:val="center"/>
        </w:trPr>
        <w:tc>
          <w:tcPr>
            <w:tcW w:w="0" w:type="auto"/>
            <w:shd w:val="clear" w:color="auto" w:fill="FFFFFF"/>
            <w:tcMar>
              <w:top w:w="48" w:type="dxa"/>
              <w:left w:w="240" w:type="dxa"/>
              <w:bottom w:w="48" w:type="dxa"/>
              <w:right w:w="0" w:type="dxa"/>
            </w:tcMar>
            <w:vAlign w:val="center"/>
            <w:hideMark/>
          </w:tcPr>
          <w:p w:rsidR="001861FA" w:rsidRPr="001861FA" w:rsidRDefault="001861FA" w:rsidP="001861FA">
            <w:pPr>
              <w:spacing w:after="0" w:line="240" w:lineRule="auto"/>
              <w:rPr>
                <w:rFonts w:ascii="Arial" w:eastAsia="Times New Roman" w:hAnsi="Arial" w:cs="Arial"/>
                <w:color w:val="2F2F2F"/>
                <w:sz w:val="15"/>
                <w:szCs w:val="15"/>
                <w:lang w:eastAsia="es-MX"/>
              </w:rPr>
            </w:pPr>
            <w:proofErr w:type="spellStart"/>
            <w:r w:rsidRPr="001861FA">
              <w:rPr>
                <w:rFonts w:ascii="Arial" w:eastAsia="Times New Roman" w:hAnsi="Arial" w:cs="Arial"/>
                <w:b/>
                <w:bCs/>
                <w:color w:val="2F2F2F"/>
                <w:sz w:val="15"/>
                <w:szCs w:val="15"/>
                <w:lang w:eastAsia="es-MX"/>
              </w:rPr>
              <w:t>DOF</w:t>
            </w:r>
            <w:proofErr w:type="spellEnd"/>
            <w:r w:rsidRPr="001861FA">
              <w:rPr>
                <w:rFonts w:ascii="Arial" w:eastAsia="Times New Roman" w:hAnsi="Arial" w:cs="Arial"/>
                <w:b/>
                <w:bCs/>
                <w:color w:val="2F2F2F"/>
                <w:sz w:val="15"/>
                <w:szCs w:val="15"/>
                <w:lang w:eastAsia="es-MX"/>
              </w:rPr>
              <w:t>: 29/07/2016</w:t>
            </w:r>
          </w:p>
        </w:tc>
      </w:tr>
      <w:tr w:rsidR="001861FA" w:rsidRPr="001861FA" w:rsidTr="001861FA">
        <w:trPr>
          <w:tblCellSpacing w:w="0" w:type="dxa"/>
          <w:jc w:val="center"/>
        </w:trPr>
        <w:tc>
          <w:tcPr>
            <w:tcW w:w="0" w:type="auto"/>
            <w:shd w:val="clear" w:color="auto" w:fill="FFFFFF"/>
            <w:tcMar>
              <w:top w:w="120" w:type="dxa"/>
              <w:left w:w="120" w:type="dxa"/>
              <w:bottom w:w="120" w:type="dxa"/>
              <w:right w:w="120" w:type="dxa"/>
            </w:tcMar>
            <w:vAlign w:val="center"/>
            <w:hideMark/>
          </w:tcPr>
          <w:p w:rsidR="001861FA" w:rsidRPr="001861FA" w:rsidRDefault="001861FA" w:rsidP="001861FA">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1861FA">
              <w:rPr>
                <w:rFonts w:ascii="Times" w:eastAsia="Times New Roman" w:hAnsi="Times" w:cs="Times"/>
                <w:b/>
                <w:bCs/>
                <w:color w:val="2F2F2F"/>
                <w:kern w:val="36"/>
                <w:sz w:val="18"/>
                <w:szCs w:val="18"/>
                <w:lang w:eastAsia="es-MX"/>
              </w:rPr>
              <w:t>ACUERDOS por los que se modifican los artículos Sexagésimo segundo, Sexagésimo tercero y Quinto Transitorio de los Lineamientos Generales en materia de Clasificación y Desclasificación de la Información, así como para la elaboración de Versiones Públicas.</w:t>
            </w:r>
          </w:p>
          <w:p w:rsidR="001861FA" w:rsidRPr="001861FA" w:rsidRDefault="001861FA" w:rsidP="001861FA">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1861FA">
              <w:rPr>
                <w:rFonts w:ascii="Helvetica" w:eastAsia="Times New Roman" w:hAnsi="Helvetica" w:cs="Helvetica"/>
                <w:b/>
                <w:bCs/>
                <w:color w:val="2F2F2F"/>
                <w:sz w:val="18"/>
                <w:szCs w:val="18"/>
                <w:lang w:eastAsia="es-MX"/>
              </w:rPr>
              <w:t>Al margen un logotipo, que dice: Sistema Nacional de Transparencia, Acceso a la Información Pública y Protección de Datos Personales.- Consejo Nacional.</w:t>
            </w:r>
          </w:p>
          <w:p w:rsidR="001861FA" w:rsidRPr="001861FA" w:rsidRDefault="001861FA" w:rsidP="001861FA">
            <w:pPr>
              <w:spacing w:after="101" w:line="240" w:lineRule="auto"/>
              <w:ind w:firstLine="288"/>
              <w:jc w:val="both"/>
              <w:rPr>
                <w:rFonts w:ascii="Arial" w:eastAsia="Times New Roman" w:hAnsi="Arial" w:cs="Arial"/>
                <w:color w:val="2F2F2F"/>
                <w:sz w:val="16"/>
                <w:szCs w:val="16"/>
                <w:lang w:eastAsia="es-MX"/>
              </w:rPr>
            </w:pPr>
            <w:r w:rsidRPr="001861FA">
              <w:rPr>
                <w:rFonts w:ascii="Helvetica" w:eastAsia="Times New Roman" w:hAnsi="Helvetica" w:cs="Helvetica"/>
                <w:color w:val="2F2F2F"/>
                <w:sz w:val="16"/>
                <w:szCs w:val="16"/>
                <w:lang w:eastAsia="es-MX"/>
              </w:rPr>
              <w:t xml:space="preserve">ACUERDOS POR LOS QUE SE MODIFICAN LOS </w:t>
            </w:r>
            <w:proofErr w:type="spellStart"/>
            <w:r w:rsidRPr="001861FA">
              <w:rPr>
                <w:rFonts w:ascii="Helvetica" w:eastAsia="Times New Roman" w:hAnsi="Helvetica" w:cs="Helvetica"/>
                <w:color w:val="2F2F2F"/>
                <w:sz w:val="16"/>
                <w:szCs w:val="16"/>
                <w:lang w:eastAsia="es-MX"/>
              </w:rPr>
              <w:t>ARTICULOS</w:t>
            </w:r>
            <w:proofErr w:type="spellEnd"/>
            <w:r w:rsidRPr="001861FA">
              <w:rPr>
                <w:rFonts w:ascii="Helvetica" w:eastAsia="Times New Roman" w:hAnsi="Helvetica" w:cs="Helvetica"/>
                <w:color w:val="2F2F2F"/>
                <w:sz w:val="16"/>
                <w:szCs w:val="16"/>
                <w:lang w:eastAsia="es-MX"/>
              </w:rPr>
              <w:t xml:space="preserve"> SEXAGÉSIMO SEGUNDO, SEXAGÉSIMO TERCERO Y QUINTO TRANSITORIO DE LOS LINEAMIENTOS GENERALES EN MATERIA DE CLASIFICACIÓN Y DESCLASIFICACIÓN DE LA INFORMACIÓN, ASÍ COMO PARA LA ELABORACIÓN DE VERSIONES PÚBLICAS.</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Que en el orden del día, de la tercera sesión extraordinaria del año 2016, celebrada el quince de julio de dos mil dieciséis, del Consejo Nacional del Sistema Nacional de Transparencia el Acceso a la Información Pública y Protección de Datos Personales, señalado como número IV, fue sometido a discusión y aprobado por unanimidad la modificación los artículos Sexagésimo segundo, Sexagésimo tercero y Quinto Transitorio de los Lineamientos Generales en materia de Clasificación y Desclasificación de la Información, así como para la elaboración de Versiones Públicas, por lo que con fundamento en lo establecido por los artículos 31 fracción XI y 35 de la Ley General de Transparencia y Acceso a la Información Pública, así como en los artículos 10 fracciones I y VII y 12, fracción XVII del Reglamento del Consejo Nacional del Sistema Nacional, Acceso a la Información Pública y Protección de Datos Personales, se emitió lo siguiente:</w:t>
            </w:r>
          </w:p>
          <w:p w:rsidR="001861FA" w:rsidRPr="001861FA" w:rsidRDefault="001861FA" w:rsidP="001861FA">
            <w:pPr>
              <w:spacing w:after="101" w:line="240" w:lineRule="auto"/>
              <w:jc w:val="center"/>
              <w:rPr>
                <w:rFonts w:ascii="Times New Roman" w:eastAsia="Times New Roman" w:hAnsi="Times New Roman" w:cs="Times New Roman"/>
                <w:b/>
                <w:bCs/>
                <w:color w:val="2F2F2F"/>
                <w:sz w:val="18"/>
                <w:szCs w:val="18"/>
                <w:lang w:eastAsia="es-MX"/>
              </w:rPr>
            </w:pPr>
            <w:r w:rsidRPr="001861FA">
              <w:rPr>
                <w:rFonts w:ascii="Times" w:eastAsia="Times New Roman" w:hAnsi="Times" w:cs="Times"/>
                <w:b/>
                <w:bCs/>
                <w:color w:val="2F2F2F"/>
                <w:sz w:val="18"/>
                <w:szCs w:val="18"/>
                <w:lang w:eastAsia="es-MX"/>
              </w:rPr>
              <w:t>ACUERDOS</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PRIMERO.</w:t>
            </w:r>
            <w:r w:rsidRPr="001861FA">
              <w:rPr>
                <w:rFonts w:ascii="Helvetica" w:eastAsia="Times New Roman" w:hAnsi="Helvetica" w:cs="Helvetica"/>
                <w:color w:val="2F2F2F"/>
                <w:sz w:val="18"/>
                <w:szCs w:val="18"/>
                <w:lang w:eastAsia="es-MX"/>
              </w:rPr>
              <w:t> Se aprueba la modificación a los artículos Sexagésimo segundo, Sexagésimo tercero y Quinto Transitorio de los Lineamientos Generales en materia de Clasificación y Desclasificación de la Información, así como para la elaboración de Versiones Públicas, de conformidad a los Acuerdos </w:t>
            </w:r>
            <w:proofErr w:type="spellStart"/>
            <w:r w:rsidRPr="001861FA">
              <w:rPr>
                <w:rFonts w:ascii="Helvetica" w:eastAsia="Times New Roman" w:hAnsi="Helvetica" w:cs="Helvetica"/>
                <w:color w:val="2F2F2F"/>
                <w:sz w:val="18"/>
                <w:szCs w:val="18"/>
                <w:lang w:eastAsia="es-MX"/>
              </w:rPr>
              <w:t>CONAIP</w:t>
            </w:r>
            <w:proofErr w:type="spellEnd"/>
            <w:r w:rsidRPr="001861FA">
              <w:rPr>
                <w:rFonts w:ascii="Helvetica" w:eastAsia="Times New Roman" w:hAnsi="Helvetica" w:cs="Helvetica"/>
                <w:color w:val="2F2F2F"/>
                <w:sz w:val="18"/>
                <w:szCs w:val="18"/>
                <w:lang w:eastAsia="es-MX"/>
              </w:rPr>
              <w:t>/</w:t>
            </w:r>
            <w:proofErr w:type="spellStart"/>
            <w:r w:rsidRPr="001861FA">
              <w:rPr>
                <w:rFonts w:ascii="Helvetica" w:eastAsia="Times New Roman" w:hAnsi="Helvetica" w:cs="Helvetica"/>
                <w:color w:val="2F2F2F"/>
                <w:sz w:val="18"/>
                <w:szCs w:val="18"/>
                <w:lang w:eastAsia="es-MX"/>
              </w:rPr>
              <w:t>SNT</w:t>
            </w:r>
            <w:proofErr w:type="spellEnd"/>
            <w:r w:rsidRPr="001861FA">
              <w:rPr>
                <w:rFonts w:ascii="Helvetica" w:eastAsia="Times New Roman" w:hAnsi="Helvetica" w:cs="Helvetica"/>
                <w:color w:val="2F2F2F"/>
                <w:sz w:val="18"/>
                <w:szCs w:val="18"/>
                <w:lang w:eastAsia="es-MX"/>
              </w:rPr>
              <w:t>/ACUERDO/</w:t>
            </w:r>
            <w:proofErr w:type="spellStart"/>
            <w:r w:rsidRPr="001861FA">
              <w:rPr>
                <w:rFonts w:ascii="Helvetica" w:eastAsia="Times New Roman" w:hAnsi="Helvetica" w:cs="Helvetica"/>
                <w:color w:val="2F2F2F"/>
                <w:sz w:val="18"/>
                <w:szCs w:val="18"/>
                <w:lang w:eastAsia="es-MX"/>
              </w:rPr>
              <w:t>EXT15</w:t>
            </w:r>
            <w:proofErr w:type="spellEnd"/>
            <w:r w:rsidRPr="001861FA">
              <w:rPr>
                <w:rFonts w:ascii="Helvetica" w:eastAsia="Times New Roman" w:hAnsi="Helvetica" w:cs="Helvetica"/>
                <w:color w:val="2F2F2F"/>
                <w:sz w:val="18"/>
                <w:szCs w:val="18"/>
                <w:lang w:eastAsia="es-MX"/>
              </w:rPr>
              <w:t xml:space="preserve">/07/2016-03 y </w:t>
            </w:r>
            <w:proofErr w:type="spellStart"/>
            <w:r w:rsidRPr="001861FA">
              <w:rPr>
                <w:rFonts w:ascii="Helvetica" w:eastAsia="Times New Roman" w:hAnsi="Helvetica" w:cs="Helvetica"/>
                <w:color w:val="2F2F2F"/>
                <w:sz w:val="18"/>
                <w:szCs w:val="18"/>
                <w:lang w:eastAsia="es-MX"/>
              </w:rPr>
              <w:t>CONAIP</w:t>
            </w:r>
            <w:proofErr w:type="spellEnd"/>
            <w:r w:rsidRPr="001861FA">
              <w:rPr>
                <w:rFonts w:ascii="Helvetica" w:eastAsia="Times New Roman" w:hAnsi="Helvetica" w:cs="Helvetica"/>
                <w:color w:val="2F2F2F"/>
                <w:sz w:val="18"/>
                <w:szCs w:val="18"/>
                <w:lang w:eastAsia="es-MX"/>
              </w:rPr>
              <w:t>/</w:t>
            </w:r>
            <w:proofErr w:type="spellStart"/>
            <w:r w:rsidRPr="001861FA">
              <w:rPr>
                <w:rFonts w:ascii="Helvetica" w:eastAsia="Times New Roman" w:hAnsi="Helvetica" w:cs="Helvetica"/>
                <w:color w:val="2F2F2F"/>
                <w:sz w:val="18"/>
                <w:szCs w:val="18"/>
                <w:lang w:eastAsia="es-MX"/>
              </w:rPr>
              <w:t>SNT</w:t>
            </w:r>
            <w:proofErr w:type="spellEnd"/>
            <w:r w:rsidRPr="001861FA">
              <w:rPr>
                <w:rFonts w:ascii="Helvetica" w:eastAsia="Times New Roman" w:hAnsi="Helvetica" w:cs="Helvetica"/>
                <w:color w:val="2F2F2F"/>
                <w:sz w:val="18"/>
                <w:szCs w:val="18"/>
                <w:lang w:eastAsia="es-MX"/>
              </w:rPr>
              <w:t>/ACUERDO/</w:t>
            </w:r>
            <w:proofErr w:type="spellStart"/>
            <w:r w:rsidRPr="001861FA">
              <w:rPr>
                <w:rFonts w:ascii="Helvetica" w:eastAsia="Times New Roman" w:hAnsi="Helvetica" w:cs="Helvetica"/>
                <w:color w:val="2F2F2F"/>
                <w:sz w:val="18"/>
                <w:szCs w:val="18"/>
                <w:lang w:eastAsia="es-MX"/>
              </w:rPr>
              <w:t>EXT15</w:t>
            </w:r>
            <w:proofErr w:type="spellEnd"/>
            <w:r w:rsidRPr="001861FA">
              <w:rPr>
                <w:rFonts w:ascii="Helvetica" w:eastAsia="Times New Roman" w:hAnsi="Helvetica" w:cs="Helvetica"/>
                <w:color w:val="2F2F2F"/>
                <w:sz w:val="18"/>
                <w:szCs w:val="18"/>
                <w:lang w:eastAsia="es-MX"/>
              </w:rPr>
              <w:t>/07/2016-04, propuestos por la Comisión Jurídica, de Criterios y Resoluciones del Sistema Nacional de Transparencia en su sesión celebrada el 11 de julio del año en curso, para quedar en los siguientes términos:</w:t>
            </w:r>
          </w:p>
          <w:p w:rsidR="001861FA" w:rsidRPr="001861FA" w:rsidRDefault="001861FA" w:rsidP="001861FA">
            <w:pPr>
              <w:spacing w:after="101" w:line="240" w:lineRule="auto"/>
              <w:jc w:val="both"/>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Sexagésimo segundo.</w:t>
            </w:r>
            <w:r w:rsidRPr="001861FA">
              <w:rPr>
                <w:rFonts w:ascii="Helvetica" w:eastAsia="Times New Roman" w:hAnsi="Helvetica" w:cs="Helvetica"/>
                <w:color w:val="2F2F2F"/>
                <w:sz w:val="18"/>
                <w:szCs w:val="18"/>
                <w:lang w:eastAsia="es-MX"/>
              </w:rPr>
              <w:t> Las versiones públicas siempre requerirán de la aprobación del Comité de Transparencia y de un formato que permita conocer las razones y argumentos debidamente fundados y motivados de las partes que han sido testadas en una versión pública.</w:t>
            </w:r>
          </w:p>
          <w:p w:rsidR="001861FA" w:rsidRPr="001861FA" w:rsidRDefault="001861FA" w:rsidP="001861FA">
            <w:pPr>
              <w:spacing w:after="101" w:line="240" w:lineRule="auto"/>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Lo anterior se llevará a cabo de la siguiente manera:</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a)</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En los casos de las versiones públicas derivadas de la atención a una solicitud de acceso a información pública o que derive de la resolución de una autoridad competente, se llevarán a cabo mediante la aplicación de la prueba de daño o de interés público, según corresponda, en el caso de información susceptible de clasificarse como reservada; así como de la información confidencial.</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b)</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En los casos de las versiones públicas elaboradas sólo para efectos del cumplimiento de las obligaciones de transparencia establecidas en los Títulos Quinto de la Ley General, Tercero de la Ley Federal y las análogas de las leyes locales de transparencia, bastará con que sean aprobadas por el Comité de Transparencia en sesión especial, conforme a las disposiciones aplicables que exijan la elaboración de versión pública. En dicha sesión se detallará la debida fundamentación y motivación que exija este ejercicio de clasificación. Asimismo, no se podrán omitir de las versiones públicas los elementos esenciales que muestren la información contenida en las obligaciones de transparencia.</w:t>
            </w:r>
          </w:p>
          <w:p w:rsidR="001861FA" w:rsidRPr="001861FA" w:rsidRDefault="001861FA" w:rsidP="001861FA">
            <w:pPr>
              <w:spacing w:after="101" w:line="240" w:lineRule="auto"/>
              <w:jc w:val="both"/>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Sexagésimo tercero. </w:t>
            </w:r>
            <w:r w:rsidRPr="001861FA">
              <w:rPr>
                <w:rFonts w:ascii="Helvetica" w:eastAsia="Times New Roman" w:hAnsi="Helvetica" w:cs="Helvetica"/>
                <w:color w:val="2F2F2F"/>
                <w:sz w:val="18"/>
                <w:szCs w:val="18"/>
                <w:lang w:eastAsia="es-MX"/>
              </w:rPr>
              <w:t>Para la elaboración de todo tipo de versión pública, ya sea para el cumplimiento a obligaciones de transparencia o bien, derivadas de la atención a una solicitud de información o del mandatado de autoridad competente, los Sujetos Obligados elaborarán una leyenda ya sea en carátula o en colofón que rija a todo documento sometido a versión pública.</w:t>
            </w:r>
          </w:p>
          <w:p w:rsidR="001861FA" w:rsidRPr="001861FA" w:rsidRDefault="001861FA" w:rsidP="001861FA">
            <w:pPr>
              <w:spacing w:after="101" w:line="240" w:lineRule="auto"/>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En dicha leyenda inscrita en la carátula o en colofón se deberá señalarse lo siguiente:</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Arial" w:eastAsia="Times New Roman" w:hAnsi="Arial" w:cs="Arial"/>
                <w:color w:val="2F2F2F"/>
                <w:sz w:val="18"/>
                <w:szCs w:val="18"/>
                <w:lang w:eastAsia="es-MX"/>
              </w:rPr>
              <w:t> </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I.</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El nombre del área del cual es titular quien clasifica.</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II.</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La identificación del documento del que se elabora la versión pública.</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III.</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Las partes o secciones clasificadas, así como las páginas que la conforman.</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lastRenderedPageBreak/>
              <w:t>IV.</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Fundamento legal, indicando el nombre del ordenamiento, el o los artículos, fracción(es), párrafo(s) con base en los cuales se sustente la clasificación; así como las razones o circunstancias que motivaron la misma.</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V.</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Firma del titular del área. Firma autógrafa de quien clasifica.</w:t>
            </w:r>
          </w:p>
          <w:p w:rsidR="001861FA" w:rsidRPr="001861FA" w:rsidRDefault="001861FA" w:rsidP="001861FA">
            <w:pPr>
              <w:spacing w:after="101" w:line="240" w:lineRule="auto"/>
              <w:ind w:hanging="432"/>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VI.</w:t>
            </w:r>
            <w:r w:rsidRPr="001861FA">
              <w:rPr>
                <w:rFonts w:ascii="Arial" w:eastAsia="Times New Roman" w:hAnsi="Arial" w:cs="Arial"/>
                <w:color w:val="2F2F2F"/>
                <w:sz w:val="20"/>
                <w:szCs w:val="20"/>
                <w:lang w:eastAsia="es-MX"/>
              </w:rPr>
              <w:t>   </w:t>
            </w:r>
            <w:r w:rsidRPr="001861FA">
              <w:rPr>
                <w:rFonts w:ascii="Helvetica" w:eastAsia="Times New Roman" w:hAnsi="Helvetica" w:cs="Helvetica"/>
                <w:color w:val="2F2F2F"/>
                <w:sz w:val="18"/>
                <w:szCs w:val="18"/>
                <w:lang w:eastAsia="es-MX"/>
              </w:rPr>
              <w:t>Fecha y número del acta de la sesión de Comité donde se aprobó la versión pública.</w:t>
            </w:r>
          </w:p>
          <w:p w:rsidR="001861FA" w:rsidRPr="001861FA" w:rsidRDefault="001861FA" w:rsidP="001861FA">
            <w:pPr>
              <w:spacing w:after="101" w:line="240" w:lineRule="auto"/>
              <w:jc w:val="center"/>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w:t>
            </w:r>
          </w:p>
          <w:p w:rsidR="001861FA" w:rsidRPr="001861FA" w:rsidRDefault="001861FA" w:rsidP="001861FA">
            <w:pPr>
              <w:spacing w:after="101" w:line="240" w:lineRule="auto"/>
              <w:jc w:val="center"/>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TRANSITORIOS</w:t>
            </w:r>
          </w:p>
          <w:p w:rsidR="001861FA" w:rsidRPr="001861FA" w:rsidRDefault="001861FA" w:rsidP="001861FA">
            <w:pPr>
              <w:spacing w:after="101" w:line="240" w:lineRule="auto"/>
              <w:jc w:val="center"/>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QUINTO.</w:t>
            </w:r>
            <w:r w:rsidRPr="001861FA">
              <w:rPr>
                <w:rFonts w:ascii="Helvetica" w:eastAsia="Times New Roman" w:hAnsi="Helvetica" w:cs="Helvetica"/>
                <w:color w:val="2F2F2F"/>
                <w:sz w:val="18"/>
                <w:szCs w:val="18"/>
                <w:lang w:eastAsia="es-MX"/>
              </w:rPr>
              <w:t> Hasta en tanto el Sistema Nacional de Transparencia establezca los lineamientos para la implementación de la Plataforma Nacional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La primera publicación de los índices de expedientes clasificados como reservados, que deberá efectuarse de conformidad con la Ley General de Transparencia y Acceso a la Información Pública, y los Lineamientos generales en materia de clasificación y desclasificación de la información, así como para la elaboración de versiones públicas; se realizará en enero de 2017 e incluirá la información comprendida de mayo de 2016 a diciembre del mismo año.</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Dicha publicación deberá realizarse de conformidad con el procedimiento que se disponga en los Lineamientos para la implementación y operación de la Plataforma Nacional de Transparencia.</w:t>
            </w:r>
          </w:p>
          <w:p w:rsidR="001861FA" w:rsidRPr="001861FA" w:rsidRDefault="001861FA" w:rsidP="001861FA">
            <w:pPr>
              <w:spacing w:after="101" w:line="240" w:lineRule="auto"/>
              <w:jc w:val="center"/>
              <w:rPr>
                <w:rFonts w:ascii="Times New Roman" w:eastAsia="Times New Roman" w:hAnsi="Times New Roman" w:cs="Times New Roman"/>
                <w:b/>
                <w:bCs/>
                <w:color w:val="2F2F2F"/>
                <w:sz w:val="18"/>
                <w:szCs w:val="18"/>
                <w:lang w:eastAsia="es-MX"/>
              </w:rPr>
            </w:pPr>
            <w:proofErr w:type="spellStart"/>
            <w:r w:rsidRPr="001861FA">
              <w:rPr>
                <w:rFonts w:ascii="Times" w:eastAsia="Times New Roman" w:hAnsi="Times" w:cs="Times"/>
                <w:b/>
                <w:bCs/>
                <w:color w:val="2F2F2F"/>
                <w:sz w:val="18"/>
                <w:szCs w:val="18"/>
                <w:lang w:eastAsia="es-MX"/>
              </w:rPr>
              <w:t>ARTICULOS</w:t>
            </w:r>
            <w:proofErr w:type="spellEnd"/>
            <w:r w:rsidRPr="001861FA">
              <w:rPr>
                <w:rFonts w:ascii="Times" w:eastAsia="Times New Roman" w:hAnsi="Times" w:cs="Times"/>
                <w:b/>
                <w:bCs/>
                <w:color w:val="2F2F2F"/>
                <w:sz w:val="18"/>
                <w:szCs w:val="18"/>
                <w:lang w:eastAsia="es-MX"/>
              </w:rPr>
              <w:t xml:space="preserve"> TRANSITORIOS</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Primero. </w:t>
            </w:r>
            <w:r w:rsidRPr="001861FA">
              <w:rPr>
                <w:rFonts w:ascii="Helvetica" w:eastAsia="Times New Roman" w:hAnsi="Helvetica" w:cs="Helvetica"/>
                <w:color w:val="2F2F2F"/>
                <w:sz w:val="18"/>
                <w:szCs w:val="18"/>
                <w:lang w:eastAsia="es-MX"/>
              </w:rPr>
              <w:t>El presente acuerdo entrará en vigor al día siguiente de su publicación en el Diario Oficial de la Federación.</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Segundo. </w:t>
            </w:r>
            <w:r w:rsidRPr="001861FA">
              <w:rPr>
                <w:rFonts w:ascii="Helvetica" w:eastAsia="Times New Roman" w:hAnsi="Helvetica" w:cs="Helvetica"/>
                <w:color w:val="2F2F2F"/>
                <w:sz w:val="18"/>
                <w:szCs w:val="18"/>
                <w:lang w:eastAsia="es-MX"/>
              </w:rPr>
              <w:t>El Instituto Nacional de Transparencia, Acceso a la Información y Protección de Datos, como administrador general de la Plataforma Nacional de Transparencia, desarrollará las herramientas tecnológicas para implementar el Sistema de Índice de expedientes clasificados como reservados, en términos del décimo segundo y décimo cuarto de los Lineamientos Generales en materia de Clasificación y Desclasificación de la Información, así como para la Elaboración de Versiones Públicas.</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Tercero.</w:t>
            </w:r>
            <w:r w:rsidRPr="001861FA">
              <w:rPr>
                <w:rFonts w:ascii="Helvetica" w:eastAsia="Times New Roman" w:hAnsi="Helvetica" w:cs="Helvetica"/>
                <w:color w:val="2F2F2F"/>
                <w:sz w:val="18"/>
                <w:szCs w:val="18"/>
                <w:lang w:eastAsia="es-MX"/>
              </w:rPr>
              <w:t> Se instruye al Secretario Ejecutivo para que publique el presente Acuerdo en el Diario Oficial de la Federación y a los integrantes del Sistema Nacional para su publicación en sus respectivas páginas electrónicas.</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 xml:space="preserve">Así lo acordó el Pleno del Consejo Nacional del Sistema Nacional de Transparencia, Acceso a la Información Pública y Protección de Datos Personales, en su sesión celebrada el quince de julio de dos mil dieciséis, en la Ciudad de México, lo que se certifica y se hace constar, con fundamento en el artículo 12 fracción XII y 13 fracciones VII y VIII del Reglamento del Consejo Nacional del Sistema Nacional de Transparencia, Acceso a la Información </w:t>
            </w:r>
            <w:proofErr w:type="spellStart"/>
            <w:r w:rsidRPr="001861FA">
              <w:rPr>
                <w:rFonts w:ascii="Helvetica" w:eastAsia="Times New Roman" w:hAnsi="Helvetica" w:cs="Helvetica"/>
                <w:color w:val="2F2F2F"/>
                <w:sz w:val="18"/>
                <w:szCs w:val="18"/>
                <w:lang w:eastAsia="es-MX"/>
              </w:rPr>
              <w:t>Publica</w:t>
            </w:r>
            <w:proofErr w:type="spellEnd"/>
            <w:r w:rsidRPr="001861FA">
              <w:rPr>
                <w:rFonts w:ascii="Helvetica" w:eastAsia="Times New Roman" w:hAnsi="Helvetica" w:cs="Helvetica"/>
                <w:color w:val="2F2F2F"/>
                <w:sz w:val="18"/>
                <w:szCs w:val="18"/>
                <w:lang w:eastAsia="es-MX"/>
              </w:rPr>
              <w:t xml:space="preserve"> y Protección de Datos Personales.</w:t>
            </w:r>
          </w:p>
          <w:p w:rsidR="001861FA" w:rsidRPr="001861FA" w:rsidRDefault="001861FA" w:rsidP="001861FA">
            <w:pPr>
              <w:spacing w:after="101" w:line="240" w:lineRule="auto"/>
              <w:ind w:firstLine="288"/>
              <w:jc w:val="both"/>
              <w:rPr>
                <w:rFonts w:ascii="Arial" w:eastAsia="Times New Roman" w:hAnsi="Arial" w:cs="Arial"/>
                <w:color w:val="2F2F2F"/>
                <w:sz w:val="18"/>
                <w:szCs w:val="18"/>
                <w:lang w:eastAsia="es-MX"/>
              </w:rPr>
            </w:pPr>
            <w:r w:rsidRPr="001861FA">
              <w:rPr>
                <w:rFonts w:ascii="Helvetica" w:eastAsia="Times New Roman" w:hAnsi="Helvetica" w:cs="Helvetica"/>
                <w:color w:val="2F2F2F"/>
                <w:sz w:val="18"/>
                <w:szCs w:val="18"/>
                <w:lang w:eastAsia="es-MX"/>
              </w:rPr>
              <w:t>La Presidenta del Consejo Nacional del Sistema Nacional de Transparencia, Acceso a la Información Pública y Protección de Datos Personales, </w:t>
            </w:r>
            <w:r w:rsidRPr="001861FA">
              <w:rPr>
                <w:rFonts w:ascii="Helvetica" w:eastAsia="Times New Roman" w:hAnsi="Helvetica" w:cs="Helvetica"/>
                <w:b/>
                <w:bCs/>
                <w:color w:val="2F2F2F"/>
                <w:sz w:val="18"/>
                <w:szCs w:val="18"/>
                <w:lang w:eastAsia="es-MX"/>
              </w:rPr>
              <w:t>Ximena Puente de la Mora</w:t>
            </w:r>
            <w:r w:rsidRPr="001861FA">
              <w:rPr>
                <w:rFonts w:ascii="Helvetica" w:eastAsia="Times New Roman" w:hAnsi="Helvetica" w:cs="Helvetica"/>
                <w:color w:val="2F2F2F"/>
                <w:sz w:val="18"/>
                <w:szCs w:val="18"/>
                <w:lang w:eastAsia="es-MX"/>
              </w:rPr>
              <w:t>.- Rúbrica.- El Secretario Ejecutivo del Consejo Nacional del Sistema Nacional de Transparencia, Acceso a la Información Pública y Protección de Datos Personales, </w:t>
            </w:r>
            <w:r w:rsidRPr="001861FA">
              <w:rPr>
                <w:rFonts w:ascii="Helvetica" w:eastAsia="Times New Roman" w:hAnsi="Helvetica" w:cs="Helvetica"/>
                <w:b/>
                <w:bCs/>
                <w:color w:val="2F2F2F"/>
                <w:sz w:val="18"/>
                <w:szCs w:val="18"/>
                <w:lang w:eastAsia="es-MX"/>
              </w:rPr>
              <w:t>Federico Guzmán Tamayo</w:t>
            </w:r>
            <w:r w:rsidRPr="001861FA">
              <w:rPr>
                <w:rFonts w:ascii="Helvetica" w:eastAsia="Times New Roman" w:hAnsi="Helvetica" w:cs="Helvetica"/>
                <w:color w:val="2F2F2F"/>
                <w:sz w:val="18"/>
                <w:szCs w:val="18"/>
                <w:lang w:eastAsia="es-MX"/>
              </w:rPr>
              <w:t>.- Rúbrica.</w:t>
            </w:r>
          </w:p>
          <w:p w:rsidR="001861FA" w:rsidRPr="001861FA" w:rsidRDefault="001861FA" w:rsidP="001861FA">
            <w:pPr>
              <w:spacing w:after="101" w:line="240" w:lineRule="auto"/>
              <w:ind w:firstLine="288"/>
              <w:jc w:val="right"/>
              <w:rPr>
                <w:rFonts w:ascii="Arial" w:eastAsia="Times New Roman" w:hAnsi="Arial" w:cs="Arial"/>
                <w:color w:val="2F2F2F"/>
                <w:sz w:val="18"/>
                <w:szCs w:val="18"/>
                <w:lang w:eastAsia="es-MX"/>
              </w:rPr>
            </w:pPr>
            <w:r w:rsidRPr="001861FA">
              <w:rPr>
                <w:rFonts w:ascii="Helvetica" w:eastAsia="Times New Roman" w:hAnsi="Helvetica" w:cs="Helvetica"/>
                <w:b/>
                <w:bCs/>
                <w:color w:val="2F2F2F"/>
                <w:sz w:val="18"/>
                <w:szCs w:val="18"/>
                <w:lang w:eastAsia="es-MX"/>
              </w:rPr>
              <w:t>(R.- 435102)</w:t>
            </w:r>
          </w:p>
        </w:tc>
      </w:tr>
    </w:tbl>
    <w:p w:rsidR="000A7423" w:rsidRDefault="000A7423"/>
    <w:sectPr w:rsidR="000A7423" w:rsidSect="000A74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hyphenationZone w:val="425"/>
  <w:characterSpacingControl w:val="doNotCompress"/>
  <w:compat/>
  <w:rsids>
    <w:rsidRoot w:val="001861FA"/>
    <w:rsid w:val="000A7423"/>
    <w:rsid w:val="001861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23"/>
  </w:style>
  <w:style w:type="paragraph" w:styleId="Ttulo1">
    <w:name w:val="heading 1"/>
    <w:basedOn w:val="Normal"/>
    <w:link w:val="Ttulo1Car"/>
    <w:uiPriority w:val="9"/>
    <w:qFormat/>
    <w:rsid w:val="00186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861F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1F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861FA"/>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86460414">
      <w:bodyDiv w:val="1"/>
      <w:marLeft w:val="0"/>
      <w:marRight w:val="0"/>
      <w:marTop w:val="0"/>
      <w:marBottom w:val="0"/>
      <w:divBdr>
        <w:top w:val="none" w:sz="0" w:space="0" w:color="auto"/>
        <w:left w:val="none" w:sz="0" w:space="0" w:color="auto"/>
        <w:bottom w:val="none" w:sz="0" w:space="0" w:color="auto"/>
        <w:right w:val="none" w:sz="0" w:space="0" w:color="auto"/>
      </w:divBdr>
      <w:divsChild>
        <w:div w:id="710879498">
          <w:marLeft w:val="0"/>
          <w:marRight w:val="0"/>
          <w:marTop w:val="0"/>
          <w:marBottom w:val="0"/>
          <w:divBdr>
            <w:top w:val="none" w:sz="0" w:space="0" w:color="auto"/>
            <w:left w:val="none" w:sz="0" w:space="0" w:color="auto"/>
            <w:bottom w:val="none" w:sz="0" w:space="0" w:color="auto"/>
            <w:right w:val="none" w:sz="0" w:space="0" w:color="auto"/>
          </w:divBdr>
          <w:divsChild>
            <w:div w:id="2009013504">
              <w:marLeft w:val="0"/>
              <w:marRight w:val="0"/>
              <w:marTop w:val="0"/>
              <w:marBottom w:val="0"/>
              <w:divBdr>
                <w:top w:val="none" w:sz="0" w:space="0" w:color="auto"/>
                <w:left w:val="none" w:sz="0" w:space="0" w:color="auto"/>
                <w:bottom w:val="none" w:sz="0" w:space="0" w:color="auto"/>
                <w:right w:val="none" w:sz="0" w:space="0" w:color="auto"/>
              </w:divBdr>
              <w:divsChild>
                <w:div w:id="1977253585">
                  <w:marLeft w:val="0"/>
                  <w:marRight w:val="0"/>
                  <w:marTop w:val="0"/>
                  <w:marBottom w:val="101"/>
                  <w:divBdr>
                    <w:top w:val="none" w:sz="0" w:space="0" w:color="auto"/>
                    <w:left w:val="none" w:sz="0" w:space="0" w:color="auto"/>
                    <w:bottom w:val="none" w:sz="0" w:space="0" w:color="auto"/>
                    <w:right w:val="none" w:sz="0" w:space="0" w:color="auto"/>
                  </w:divBdr>
                </w:div>
                <w:div w:id="1453356217">
                  <w:marLeft w:val="0"/>
                  <w:marRight w:val="0"/>
                  <w:marTop w:val="0"/>
                  <w:marBottom w:val="101"/>
                  <w:divBdr>
                    <w:top w:val="none" w:sz="0" w:space="0" w:color="auto"/>
                    <w:left w:val="none" w:sz="0" w:space="0" w:color="auto"/>
                    <w:bottom w:val="none" w:sz="0" w:space="0" w:color="auto"/>
                    <w:right w:val="none" w:sz="0" w:space="0" w:color="auto"/>
                  </w:divBdr>
                </w:div>
                <w:div w:id="301623647">
                  <w:marLeft w:val="0"/>
                  <w:marRight w:val="0"/>
                  <w:marTop w:val="101"/>
                  <w:marBottom w:val="101"/>
                  <w:divBdr>
                    <w:top w:val="none" w:sz="0" w:space="0" w:color="auto"/>
                    <w:left w:val="none" w:sz="0" w:space="0" w:color="auto"/>
                    <w:bottom w:val="none" w:sz="0" w:space="0" w:color="auto"/>
                    <w:right w:val="none" w:sz="0" w:space="0" w:color="auto"/>
                  </w:divBdr>
                </w:div>
                <w:div w:id="2008164654">
                  <w:marLeft w:val="0"/>
                  <w:marRight w:val="0"/>
                  <w:marTop w:val="0"/>
                  <w:marBottom w:val="101"/>
                  <w:divBdr>
                    <w:top w:val="none" w:sz="0" w:space="0" w:color="auto"/>
                    <w:left w:val="none" w:sz="0" w:space="0" w:color="auto"/>
                    <w:bottom w:val="none" w:sz="0" w:space="0" w:color="auto"/>
                    <w:right w:val="none" w:sz="0" w:space="0" w:color="auto"/>
                  </w:divBdr>
                </w:div>
                <w:div w:id="1753161163">
                  <w:marLeft w:val="720"/>
                  <w:marRight w:val="720"/>
                  <w:marTop w:val="0"/>
                  <w:marBottom w:val="101"/>
                  <w:divBdr>
                    <w:top w:val="none" w:sz="0" w:space="0" w:color="auto"/>
                    <w:left w:val="none" w:sz="0" w:space="0" w:color="auto"/>
                    <w:bottom w:val="none" w:sz="0" w:space="0" w:color="auto"/>
                    <w:right w:val="none" w:sz="0" w:space="0" w:color="auto"/>
                  </w:divBdr>
                </w:div>
                <w:div w:id="2112964812">
                  <w:marLeft w:val="720"/>
                  <w:marRight w:val="720"/>
                  <w:marTop w:val="0"/>
                  <w:marBottom w:val="101"/>
                  <w:divBdr>
                    <w:top w:val="none" w:sz="0" w:space="0" w:color="auto"/>
                    <w:left w:val="none" w:sz="0" w:space="0" w:color="auto"/>
                    <w:bottom w:val="none" w:sz="0" w:space="0" w:color="auto"/>
                    <w:right w:val="none" w:sz="0" w:space="0" w:color="auto"/>
                  </w:divBdr>
                </w:div>
                <w:div w:id="1669401495">
                  <w:marLeft w:val="1152"/>
                  <w:marRight w:val="720"/>
                  <w:marTop w:val="0"/>
                  <w:marBottom w:val="101"/>
                  <w:divBdr>
                    <w:top w:val="none" w:sz="0" w:space="0" w:color="auto"/>
                    <w:left w:val="none" w:sz="0" w:space="0" w:color="auto"/>
                    <w:bottom w:val="none" w:sz="0" w:space="0" w:color="auto"/>
                    <w:right w:val="none" w:sz="0" w:space="0" w:color="auto"/>
                  </w:divBdr>
                </w:div>
                <w:div w:id="735979203">
                  <w:marLeft w:val="1152"/>
                  <w:marRight w:val="720"/>
                  <w:marTop w:val="0"/>
                  <w:marBottom w:val="101"/>
                  <w:divBdr>
                    <w:top w:val="none" w:sz="0" w:space="0" w:color="auto"/>
                    <w:left w:val="none" w:sz="0" w:space="0" w:color="auto"/>
                    <w:bottom w:val="none" w:sz="0" w:space="0" w:color="auto"/>
                    <w:right w:val="none" w:sz="0" w:space="0" w:color="auto"/>
                  </w:divBdr>
                </w:div>
                <w:div w:id="660231015">
                  <w:marLeft w:val="720"/>
                  <w:marRight w:val="720"/>
                  <w:marTop w:val="0"/>
                  <w:marBottom w:val="101"/>
                  <w:divBdr>
                    <w:top w:val="none" w:sz="0" w:space="0" w:color="auto"/>
                    <w:left w:val="none" w:sz="0" w:space="0" w:color="auto"/>
                    <w:bottom w:val="none" w:sz="0" w:space="0" w:color="auto"/>
                    <w:right w:val="none" w:sz="0" w:space="0" w:color="auto"/>
                  </w:divBdr>
                </w:div>
                <w:div w:id="779760976">
                  <w:marLeft w:val="720"/>
                  <w:marRight w:val="720"/>
                  <w:marTop w:val="0"/>
                  <w:marBottom w:val="101"/>
                  <w:divBdr>
                    <w:top w:val="none" w:sz="0" w:space="0" w:color="auto"/>
                    <w:left w:val="none" w:sz="0" w:space="0" w:color="auto"/>
                    <w:bottom w:val="none" w:sz="0" w:space="0" w:color="auto"/>
                    <w:right w:val="none" w:sz="0" w:space="0" w:color="auto"/>
                  </w:divBdr>
                </w:div>
                <w:div w:id="1635409019">
                  <w:marLeft w:val="1152"/>
                  <w:marRight w:val="720"/>
                  <w:marTop w:val="0"/>
                  <w:marBottom w:val="101"/>
                  <w:divBdr>
                    <w:top w:val="none" w:sz="0" w:space="0" w:color="auto"/>
                    <w:left w:val="none" w:sz="0" w:space="0" w:color="auto"/>
                    <w:bottom w:val="none" w:sz="0" w:space="0" w:color="auto"/>
                    <w:right w:val="none" w:sz="0" w:space="0" w:color="auto"/>
                  </w:divBdr>
                </w:div>
              </w:divsChild>
            </w:div>
            <w:div w:id="426460750">
              <w:marLeft w:val="0"/>
              <w:marRight w:val="0"/>
              <w:marTop w:val="0"/>
              <w:marBottom w:val="0"/>
              <w:divBdr>
                <w:top w:val="none" w:sz="0" w:space="0" w:color="auto"/>
                <w:left w:val="none" w:sz="0" w:space="0" w:color="auto"/>
                <w:bottom w:val="none" w:sz="0" w:space="0" w:color="auto"/>
                <w:right w:val="none" w:sz="0" w:space="0" w:color="auto"/>
              </w:divBdr>
              <w:divsChild>
                <w:div w:id="730470634">
                  <w:marLeft w:val="1152"/>
                  <w:marRight w:val="720"/>
                  <w:marTop w:val="0"/>
                  <w:marBottom w:val="101"/>
                  <w:divBdr>
                    <w:top w:val="none" w:sz="0" w:space="0" w:color="auto"/>
                    <w:left w:val="none" w:sz="0" w:space="0" w:color="auto"/>
                    <w:bottom w:val="none" w:sz="0" w:space="0" w:color="auto"/>
                    <w:right w:val="none" w:sz="0" w:space="0" w:color="auto"/>
                  </w:divBdr>
                </w:div>
                <w:div w:id="1477526794">
                  <w:marLeft w:val="1152"/>
                  <w:marRight w:val="720"/>
                  <w:marTop w:val="0"/>
                  <w:marBottom w:val="101"/>
                  <w:divBdr>
                    <w:top w:val="none" w:sz="0" w:space="0" w:color="auto"/>
                    <w:left w:val="none" w:sz="0" w:space="0" w:color="auto"/>
                    <w:bottom w:val="none" w:sz="0" w:space="0" w:color="auto"/>
                    <w:right w:val="none" w:sz="0" w:space="0" w:color="auto"/>
                  </w:divBdr>
                </w:div>
                <w:div w:id="1033573207">
                  <w:marLeft w:val="1152"/>
                  <w:marRight w:val="720"/>
                  <w:marTop w:val="0"/>
                  <w:marBottom w:val="101"/>
                  <w:divBdr>
                    <w:top w:val="none" w:sz="0" w:space="0" w:color="auto"/>
                    <w:left w:val="none" w:sz="0" w:space="0" w:color="auto"/>
                    <w:bottom w:val="none" w:sz="0" w:space="0" w:color="auto"/>
                    <w:right w:val="none" w:sz="0" w:space="0" w:color="auto"/>
                  </w:divBdr>
                </w:div>
                <w:div w:id="1894079084">
                  <w:marLeft w:val="1152"/>
                  <w:marRight w:val="720"/>
                  <w:marTop w:val="0"/>
                  <w:marBottom w:val="101"/>
                  <w:divBdr>
                    <w:top w:val="none" w:sz="0" w:space="0" w:color="auto"/>
                    <w:left w:val="none" w:sz="0" w:space="0" w:color="auto"/>
                    <w:bottom w:val="none" w:sz="0" w:space="0" w:color="auto"/>
                    <w:right w:val="none" w:sz="0" w:space="0" w:color="auto"/>
                  </w:divBdr>
                </w:div>
                <w:div w:id="1994525301">
                  <w:marLeft w:val="1152"/>
                  <w:marRight w:val="720"/>
                  <w:marTop w:val="0"/>
                  <w:marBottom w:val="101"/>
                  <w:divBdr>
                    <w:top w:val="none" w:sz="0" w:space="0" w:color="auto"/>
                    <w:left w:val="none" w:sz="0" w:space="0" w:color="auto"/>
                    <w:bottom w:val="none" w:sz="0" w:space="0" w:color="auto"/>
                    <w:right w:val="none" w:sz="0" w:space="0" w:color="auto"/>
                  </w:divBdr>
                </w:div>
                <w:div w:id="752554969">
                  <w:marLeft w:val="1152"/>
                  <w:marRight w:val="720"/>
                  <w:marTop w:val="0"/>
                  <w:marBottom w:val="101"/>
                  <w:divBdr>
                    <w:top w:val="none" w:sz="0" w:space="0" w:color="auto"/>
                    <w:left w:val="none" w:sz="0" w:space="0" w:color="auto"/>
                    <w:bottom w:val="none" w:sz="0" w:space="0" w:color="auto"/>
                    <w:right w:val="none" w:sz="0" w:space="0" w:color="auto"/>
                  </w:divBdr>
                </w:div>
                <w:div w:id="2028631769">
                  <w:marLeft w:val="0"/>
                  <w:marRight w:val="0"/>
                  <w:marTop w:val="0"/>
                  <w:marBottom w:val="101"/>
                  <w:divBdr>
                    <w:top w:val="none" w:sz="0" w:space="0" w:color="auto"/>
                    <w:left w:val="none" w:sz="0" w:space="0" w:color="auto"/>
                    <w:bottom w:val="none" w:sz="0" w:space="0" w:color="auto"/>
                    <w:right w:val="none" w:sz="0" w:space="0" w:color="auto"/>
                  </w:divBdr>
                </w:div>
                <w:div w:id="438764765">
                  <w:marLeft w:val="0"/>
                  <w:marRight w:val="0"/>
                  <w:marTop w:val="0"/>
                  <w:marBottom w:val="101"/>
                  <w:divBdr>
                    <w:top w:val="none" w:sz="0" w:space="0" w:color="auto"/>
                    <w:left w:val="none" w:sz="0" w:space="0" w:color="auto"/>
                    <w:bottom w:val="none" w:sz="0" w:space="0" w:color="auto"/>
                    <w:right w:val="none" w:sz="0" w:space="0" w:color="auto"/>
                  </w:divBdr>
                </w:div>
                <w:div w:id="220942364">
                  <w:marLeft w:val="0"/>
                  <w:marRight w:val="0"/>
                  <w:marTop w:val="0"/>
                  <w:marBottom w:val="101"/>
                  <w:divBdr>
                    <w:top w:val="none" w:sz="0" w:space="0" w:color="auto"/>
                    <w:left w:val="none" w:sz="0" w:space="0" w:color="auto"/>
                    <w:bottom w:val="none" w:sz="0" w:space="0" w:color="auto"/>
                    <w:right w:val="none" w:sz="0" w:space="0" w:color="auto"/>
                  </w:divBdr>
                </w:div>
                <w:div w:id="1460804018">
                  <w:marLeft w:val="0"/>
                  <w:marRight w:val="0"/>
                  <w:marTop w:val="0"/>
                  <w:marBottom w:val="101"/>
                  <w:divBdr>
                    <w:top w:val="none" w:sz="0" w:space="0" w:color="auto"/>
                    <w:left w:val="none" w:sz="0" w:space="0" w:color="auto"/>
                    <w:bottom w:val="none" w:sz="0" w:space="0" w:color="auto"/>
                    <w:right w:val="none" w:sz="0" w:space="0" w:color="auto"/>
                  </w:divBdr>
                </w:div>
                <w:div w:id="1376009254">
                  <w:marLeft w:val="0"/>
                  <w:marRight w:val="0"/>
                  <w:marTop w:val="0"/>
                  <w:marBottom w:val="101"/>
                  <w:divBdr>
                    <w:top w:val="none" w:sz="0" w:space="0" w:color="auto"/>
                    <w:left w:val="none" w:sz="0" w:space="0" w:color="auto"/>
                    <w:bottom w:val="none" w:sz="0" w:space="0" w:color="auto"/>
                    <w:right w:val="none" w:sz="0" w:space="0" w:color="auto"/>
                  </w:divBdr>
                </w:div>
                <w:div w:id="394858656">
                  <w:marLeft w:val="0"/>
                  <w:marRight w:val="0"/>
                  <w:marTop w:val="0"/>
                  <w:marBottom w:val="101"/>
                  <w:divBdr>
                    <w:top w:val="none" w:sz="0" w:space="0" w:color="auto"/>
                    <w:left w:val="none" w:sz="0" w:space="0" w:color="auto"/>
                    <w:bottom w:val="none" w:sz="0" w:space="0" w:color="auto"/>
                    <w:right w:val="none" w:sz="0" w:space="0" w:color="auto"/>
                  </w:divBdr>
                </w:div>
                <w:div w:id="1393846047">
                  <w:marLeft w:val="0"/>
                  <w:marRight w:val="0"/>
                  <w:marTop w:val="101"/>
                  <w:marBottom w:val="101"/>
                  <w:divBdr>
                    <w:top w:val="none" w:sz="0" w:space="0" w:color="auto"/>
                    <w:left w:val="none" w:sz="0" w:space="0" w:color="auto"/>
                    <w:bottom w:val="none" w:sz="0" w:space="0" w:color="auto"/>
                    <w:right w:val="none" w:sz="0" w:space="0" w:color="auto"/>
                  </w:divBdr>
                </w:div>
                <w:div w:id="1095588998">
                  <w:marLeft w:val="0"/>
                  <w:marRight w:val="0"/>
                  <w:marTop w:val="0"/>
                  <w:marBottom w:val="101"/>
                  <w:divBdr>
                    <w:top w:val="none" w:sz="0" w:space="0" w:color="auto"/>
                    <w:left w:val="none" w:sz="0" w:space="0" w:color="auto"/>
                    <w:bottom w:val="none" w:sz="0" w:space="0" w:color="auto"/>
                    <w:right w:val="none" w:sz="0" w:space="0" w:color="auto"/>
                  </w:divBdr>
                </w:div>
                <w:div w:id="895050895">
                  <w:marLeft w:val="0"/>
                  <w:marRight w:val="0"/>
                  <w:marTop w:val="0"/>
                  <w:marBottom w:val="101"/>
                  <w:divBdr>
                    <w:top w:val="none" w:sz="0" w:space="0" w:color="auto"/>
                    <w:left w:val="none" w:sz="0" w:space="0" w:color="auto"/>
                    <w:bottom w:val="none" w:sz="0" w:space="0" w:color="auto"/>
                    <w:right w:val="none" w:sz="0" w:space="0" w:color="auto"/>
                  </w:divBdr>
                </w:div>
                <w:div w:id="1497916718">
                  <w:marLeft w:val="0"/>
                  <w:marRight w:val="0"/>
                  <w:marTop w:val="0"/>
                  <w:marBottom w:val="101"/>
                  <w:divBdr>
                    <w:top w:val="none" w:sz="0" w:space="0" w:color="auto"/>
                    <w:left w:val="none" w:sz="0" w:space="0" w:color="auto"/>
                    <w:bottom w:val="none" w:sz="0" w:space="0" w:color="auto"/>
                    <w:right w:val="none" w:sz="0" w:space="0" w:color="auto"/>
                  </w:divBdr>
                </w:div>
                <w:div w:id="948049942">
                  <w:marLeft w:val="0"/>
                  <w:marRight w:val="0"/>
                  <w:marTop w:val="0"/>
                  <w:marBottom w:val="101"/>
                  <w:divBdr>
                    <w:top w:val="none" w:sz="0" w:space="0" w:color="auto"/>
                    <w:left w:val="none" w:sz="0" w:space="0" w:color="auto"/>
                    <w:bottom w:val="none" w:sz="0" w:space="0" w:color="auto"/>
                    <w:right w:val="none" w:sz="0" w:space="0" w:color="auto"/>
                  </w:divBdr>
                </w:div>
                <w:div w:id="11230657">
                  <w:marLeft w:val="0"/>
                  <w:marRight w:val="0"/>
                  <w:marTop w:val="0"/>
                  <w:marBottom w:val="101"/>
                  <w:divBdr>
                    <w:top w:val="none" w:sz="0" w:space="0" w:color="auto"/>
                    <w:left w:val="none" w:sz="0" w:space="0" w:color="auto"/>
                    <w:bottom w:val="none" w:sz="0" w:space="0" w:color="auto"/>
                    <w:right w:val="none" w:sz="0" w:space="0" w:color="auto"/>
                  </w:divBdr>
                </w:div>
                <w:div w:id="151965635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6463</Characters>
  <Application>Microsoft Office Word</Application>
  <DocSecurity>0</DocSecurity>
  <Lines>53</Lines>
  <Paragraphs>15</Paragraphs>
  <ScaleCrop>false</ScaleCrop>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1</cp:revision>
  <dcterms:created xsi:type="dcterms:W3CDTF">2021-01-07T21:04:00Z</dcterms:created>
  <dcterms:modified xsi:type="dcterms:W3CDTF">2021-01-07T21:04:00Z</dcterms:modified>
</cp:coreProperties>
</file>