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36" w:rsidRP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egritas"/>
          <w:bCs w:val="0"/>
          <w:sz w:val="28"/>
          <w:szCs w:val="28"/>
          <w:lang w:val="es-ES_tradnl"/>
        </w:rPr>
      </w:pPr>
      <w:r w:rsidRPr="00381236">
        <w:rPr>
          <w:rStyle w:val="negritas"/>
          <w:sz w:val="28"/>
          <w:szCs w:val="28"/>
          <w:lang w:val="es-ES_tradnl"/>
        </w:rPr>
        <w:t>LEY DE ATENCIÓN Y PROTECCIÓN A PERSONAS CON AUTISMO</w:t>
      </w:r>
    </w:p>
    <w:p w:rsid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egritas"/>
          <w:lang w:val="es-ES_tradnl"/>
        </w:rPr>
      </w:pPr>
      <w:r w:rsidRPr="00381236">
        <w:rPr>
          <w:rStyle w:val="negritas"/>
          <w:sz w:val="28"/>
          <w:szCs w:val="28"/>
          <w:lang w:val="es-ES_tradnl"/>
        </w:rPr>
        <w:t>PARA EL ESTADO DE BAJA CALIFORNIA</w:t>
      </w:r>
    </w:p>
    <w:p w:rsid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egritas"/>
          <w:lang w:val="es-ES_tradnl"/>
        </w:rPr>
      </w:pPr>
    </w:p>
    <w:p w:rsidR="00381236" w:rsidRDefault="00381236" w:rsidP="00381236">
      <w:pPr>
        <w:tabs>
          <w:tab w:val="left" w:pos="8789"/>
        </w:tabs>
        <w:ind w:right="49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Publicada en el Periódico Oficial No. 47, Sección VII,</w:t>
      </w:r>
    </w:p>
    <w:p w:rsidR="00381236" w:rsidRP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egritas"/>
          <w:bCs w:val="0"/>
          <w:lang w:val="es-ES_tradnl"/>
        </w:rPr>
      </w:pPr>
      <w:r>
        <w:rPr>
          <w:b/>
          <w:sz w:val="28"/>
          <w:szCs w:val="28"/>
          <w:lang w:val="es-ES_tradnl"/>
        </w:rPr>
        <w:t>de fecha 21 de octubre de 2016, Tomo CXXIII</w:t>
      </w:r>
      <w:r w:rsidRPr="00381236">
        <w:rPr>
          <w:rStyle w:val="negritas"/>
          <w:lang w:val="es-ES_tradnl"/>
        </w:rPr>
        <w:t xml:space="preserve"> </w:t>
      </w:r>
    </w:p>
    <w:p w:rsidR="00381236" w:rsidRP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egritas"/>
          <w:bCs w:val="0"/>
          <w:lang w:val="es-ES_tradnl"/>
        </w:rPr>
      </w:pP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/>
          <w:bCs/>
          <w:lang w:val="es-ES_tradnl"/>
        </w:rPr>
      </w:pPr>
      <w:r w:rsidRPr="00381236">
        <w:rPr>
          <w:b/>
          <w:bCs/>
          <w:lang w:val="es-ES_tradnl"/>
        </w:rPr>
        <w:t>CAPÍTULO PRIMERO</w:t>
      </w:r>
      <w:r w:rsidRPr="00381236">
        <w:rPr>
          <w:b/>
          <w:bCs/>
          <w:lang w:val="es-ES_tradnl"/>
        </w:rPr>
        <w:br/>
        <w:t>DISPOSICIONES GENERALES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1.-</w:t>
      </w:r>
      <w:r w:rsidRPr="00381236">
        <w:rPr>
          <w:rStyle w:val="apple-converted-space"/>
          <w:bCs/>
          <w:lang w:val="es-ES_tradnl"/>
        </w:rPr>
        <w:t> </w:t>
      </w:r>
      <w:r w:rsidRPr="00381236">
        <w:rPr>
          <w:lang w:val="es-ES_tradnl"/>
        </w:rPr>
        <w:t>Las disposiciones de la presente Ley son de orden público, de interés social tiene por objeto impulsar y generar la plena integración e inclusión a la sociedad de las personas con la condición del espectro autista, mediante la protección de sus derechos y necesidades fundamentales que les son reconocidos en la Constitución Política de los Estados Unidos Mexicanos, tratados internacionales y Ley General para la Atención y Protección a Personas con la Condición del Espectro Autista, sin perjuicio de los derechos tutelados por otras leyes u ordenamientos.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2</w:t>
      </w:r>
      <w:r w:rsidRPr="00381236">
        <w:rPr>
          <w:lang w:val="es-ES_tradnl"/>
        </w:rPr>
        <w:t>.- Para los efectos de esta Ley se aplicarán los conceptos previstos en la Ley General para la Atención y Protección a Personas con la Condición del Espectro Autista, así como las siguientes: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apple-converted-space"/>
          <w:lang w:val="es-ES_tradnl"/>
        </w:rPr>
        <w:t>I. Comisión</w:t>
      </w:r>
      <w:r w:rsidRPr="00381236">
        <w:rPr>
          <w:rStyle w:val="negritas"/>
          <w:b w:val="0"/>
          <w:lang w:val="es-ES_tradnl"/>
        </w:rPr>
        <w:t>:</w:t>
      </w:r>
      <w:r w:rsidRPr="00381236">
        <w:rPr>
          <w:rStyle w:val="apple-converted-space"/>
          <w:lang w:val="es-ES_tradnl"/>
        </w:rPr>
        <w:t> Comisión Intersecretarial</w:t>
      </w:r>
      <w:r w:rsidRPr="00381236">
        <w:rPr>
          <w:lang w:val="es-ES_tradnl"/>
        </w:rPr>
        <w:t xml:space="preserve"> del Poder Ejecutivo Estatal,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II. Ley General: Ley General para la Atención y Protección a Personas con la Condición del Espectro Autista y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III. Secretaría:</w:t>
      </w:r>
      <w:r w:rsidRPr="00381236">
        <w:rPr>
          <w:rStyle w:val="apple-converted-space"/>
          <w:bCs/>
          <w:lang w:val="es-ES_tradnl"/>
        </w:rPr>
        <w:t> </w:t>
      </w:r>
      <w:r w:rsidRPr="00381236">
        <w:rPr>
          <w:lang w:val="es-ES_tradnl"/>
        </w:rPr>
        <w:t>Secretaría de Salud de Baja California.</w:t>
      </w:r>
    </w:p>
    <w:p w:rsidR="00381236" w:rsidRPr="00381236" w:rsidRDefault="00381236" w:rsidP="00F21B86">
      <w:pPr>
        <w:pStyle w:val="sangria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3</w:t>
      </w:r>
      <w:r w:rsidRPr="00381236">
        <w:rPr>
          <w:rStyle w:val="apple-converted-space"/>
          <w:lang w:val="es-ES_tradnl"/>
        </w:rPr>
        <w:t xml:space="preserve">.- </w:t>
      </w:r>
      <w:r w:rsidRPr="00381236">
        <w:rPr>
          <w:lang w:val="es-ES_tradnl"/>
        </w:rPr>
        <w:t>Corresponde a las autoridades del Estado y Municipios asegurar el respeto y ejercicio de los derechos que les asisten a las personas con la condición de los trastornos del espectro autista.</w:t>
      </w:r>
    </w:p>
    <w:p w:rsidR="00381236" w:rsidRPr="00381236" w:rsidRDefault="00381236" w:rsidP="00F21B86">
      <w:pPr>
        <w:pStyle w:val="sangria"/>
        <w:shd w:val="clear" w:color="auto" w:fill="FFFFFF"/>
        <w:spacing w:before="240" w:beforeAutospacing="0" w:after="24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lang w:val="es-ES_tradnl"/>
        </w:rPr>
        <w:t>Artículo 4.- Las autoridades del Estado y Municipios, con el objeto de dar cumplimiento a la presente Ley, deberán implementar de manera progresiva las políticas y acciones correspondientes conforme a los programas aplicables.</w:t>
      </w:r>
      <w:r w:rsidRPr="00381236">
        <w:rPr>
          <w:rStyle w:val="negritas"/>
          <w:b w:val="0"/>
          <w:lang w:val="es-ES_tradnl"/>
        </w:rPr>
        <w:t xml:space="preserve"> </w:t>
      </w:r>
    </w:p>
    <w:p w:rsidR="00381236" w:rsidRPr="00381236" w:rsidRDefault="00381236" w:rsidP="00F21B86">
      <w:pPr>
        <w:pStyle w:val="sangria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5</w:t>
      </w:r>
      <w:r w:rsidRPr="00381236">
        <w:rPr>
          <w:rStyle w:val="apple-converted-space"/>
          <w:lang w:val="es-ES_tradnl"/>
        </w:rPr>
        <w:t xml:space="preserve">.- </w:t>
      </w:r>
      <w:r w:rsidRPr="00381236">
        <w:rPr>
          <w:lang w:val="es-ES_tradnl"/>
        </w:rPr>
        <w:t>Los principios fundamentales que deberán contener las políticas públicas en materia del fenómeno autístico, son: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I. Autonomía: Coadyuvar a que las personas con la condición del espectro autista se puedan valer por sí mismas;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II. Dignidad: Valor que reconoce una calidad única y excepcional a todo ser humano por el simple hecho de serlo, como lo son las personas con la condición del espectro autista;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lastRenderedPageBreak/>
        <w:t>III. Igualdad: Aplicación de derechos iguales para todas las personas, incluidas aquellas que se encuentran con la condición del espectro autista;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IV. Inclusión: Cuando la sociedad actúa sin discriminación ni prejuicios e incluye a las personas con la condición del espectro autista, considerando que la diversidad es una condición humana;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V. Inviolabilidad de los derechos: Prohibición de pleno derecho para que ninguna persona u órgano de gobierno atente, lesione o destruya los derechos humanos ni las leyes, políticas públicas y programas en favor de las personas con la condición del espectro autista;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VI. Justicia: Equidad, virtud de dar a cada uno lo que le pertenece o corresponde. Dar a las personas con la condición del espectro autista la atención que responda a sus necesidades y a sus legítimos derechos humanos y civiles;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 xml:space="preserve">VII. Libertad: Capacidad de las personas con la condición del espectro autista para elegir los medios para su desarrollo personal o, en su caso, a través de sus familiares en orden ascendente o tutores; 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VIII. Respeto: Consideración al comportamiento y forma de actuar distinta de las personas con la condición del espectro autista;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IX. Transparencia: El acceso objetivo, oportuno, sistemático y veraz de la información sobre la magnitud, políticas, programas y resultados de las acciones puestas en marcha por las autoridades participantes en la gestión y resolución del fenómeno autista, y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X.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Los demás previstos en la Ley General.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Artículo 6.- Las autoridades del Estado y Municipios alinearán sus programas con la política pública en materia de atención y protección a personas con la condición del espectro autista, en los términos previstos en el artículo 8 de la Ley General.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7.-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En todo lo no previsto en el presente ordenamiento se aplicarán de manera supletoria, en el siguiente orden: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apple-converted-space"/>
          <w:lang w:val="es-ES_tradnl"/>
        </w:rPr>
        <w:t>I. </w:t>
      </w:r>
      <w:r w:rsidRPr="00381236">
        <w:rPr>
          <w:lang w:val="es-ES_tradnl"/>
        </w:rPr>
        <w:t>Ley Orgánica de la Administración Pública del Estado de Baja California;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apple-converted-space"/>
          <w:lang w:val="es-ES_tradnl"/>
        </w:rPr>
        <w:t xml:space="preserve">II. </w:t>
      </w:r>
      <w:r w:rsidRPr="00381236">
        <w:rPr>
          <w:shd w:val="clear" w:color="auto" w:fill="FFFFFF"/>
          <w:lang w:val="es-ES_tradnl"/>
        </w:rPr>
        <w:t>Ley de las Entidades Paraestatales del Estado de Baja California</w:t>
      </w:r>
      <w:r w:rsidRPr="00381236">
        <w:rPr>
          <w:lang w:val="es-ES_tradnl"/>
        </w:rPr>
        <w:t>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apple-converted-space"/>
          <w:lang w:val="es-ES_tradnl"/>
        </w:rPr>
        <w:t xml:space="preserve">III. </w:t>
      </w:r>
      <w:r w:rsidRPr="00381236">
        <w:rPr>
          <w:lang w:val="es-ES_tradnl"/>
        </w:rPr>
        <w:t>Ley de Responsabilidades de los Servidores Públicos del Estado de Baja California;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apple-converted-space"/>
          <w:lang w:val="es-ES_tradnl"/>
        </w:rPr>
        <w:t xml:space="preserve">IV. </w:t>
      </w:r>
      <w:r w:rsidRPr="00381236">
        <w:rPr>
          <w:shd w:val="clear" w:color="auto" w:fill="FFFFFF"/>
          <w:lang w:val="es-ES_tradnl"/>
        </w:rPr>
        <w:t>Ley de Planeación para el Estado de Baja California</w:t>
      </w:r>
      <w:r w:rsidRPr="00381236">
        <w:rPr>
          <w:lang w:val="es-ES_tradnl"/>
        </w:rPr>
        <w:t>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apple-converted-space"/>
          <w:lang w:val="es-ES_tradnl"/>
        </w:rPr>
        <w:t xml:space="preserve">V. </w:t>
      </w:r>
      <w:r w:rsidRPr="00381236">
        <w:rPr>
          <w:lang w:val="es-ES_tradnl"/>
        </w:rPr>
        <w:t>Ley de Salud Pública para el Estado de Baja California;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 xml:space="preserve">VI. </w:t>
      </w:r>
      <w:r w:rsidRPr="00381236">
        <w:rPr>
          <w:lang w:val="es-ES_tradnl"/>
        </w:rPr>
        <w:t>Código Civil para el Estado de Baja California;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VII. Ley para las Personas con Discapacidad en el Estado de Baja California, y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VIII. Ley de Asistencia Social para el Estado de Baja California.</w:t>
      </w:r>
    </w:p>
    <w:p w:rsidR="00381236" w:rsidRPr="00381236" w:rsidRDefault="00381236" w:rsidP="00381236">
      <w:pPr>
        <w:pStyle w:val="sangria"/>
        <w:shd w:val="clear" w:color="auto" w:fill="FFFFFF"/>
        <w:spacing w:before="0" w:beforeAutospacing="0" w:after="0" w:afterAutospacing="0"/>
        <w:jc w:val="both"/>
        <w:rPr>
          <w:rStyle w:val="negritas"/>
          <w:b w:val="0"/>
          <w:bCs w:val="0"/>
          <w:lang w:val="es-ES_tradnl"/>
        </w:rPr>
      </w:pP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lastRenderedPageBreak/>
        <w:t xml:space="preserve">CAPÍTULO SEGUNDO </w:t>
      </w:r>
      <w:r w:rsidRPr="00381236">
        <w:rPr>
          <w:bCs/>
          <w:lang w:val="es-ES_tradnl"/>
        </w:rPr>
        <w:br/>
        <w:t>DERECHOS Y OBLIGACIONES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 xml:space="preserve">SECCIÓN I 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>DERECHOS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8.-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Se reconocen como derechos fundamentales de las personas con trastornos del espectro autista y/o de sus familias, los siguientes: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I. Gozar plenamente de los derechos humanos que garantiza la Constitución Política de los Estados Unidos Mexicanos y las leyes aplicables;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II. Recibir el apoyo y la protección de sus derechos constitucionales y legales por parte de las autoridades del Estado y Municipios;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III. Tener un diagnóstico y una evaluación clínica temprana, precisa, accesible y sin prejuicios de acuerdo con los objetivos del Sistema Estatal de Salud;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IV. Solicitar y recibir los certificados de evaluación y diagnóstico indicativos del estado en que se encuentren las personas con la condición del espectro autista;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V. Recibir consultas clínicas y terapias de habilitación especializadas en la red hospitalaria del sector público estatal, así como contar con terapias de habilitación;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VI. Disponer de su ficha personal o copia de su expediente en lo que concierne al área médica, psicológica, psiquiátrica y educativa al momento en que les sean requeridos por autoridad competente;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VII. Contar con los cuidados apropiados para su salud mental y física, con acceso a tratamientos y medicamentos de calidad, que les sean administrados oportunamente, tomando todas las medidas y precauciones necesarias;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VIII. Ser inscritos de manera gratuita en el Sistema de Protección Social en Salud, conforme a lo establecido en la Ley General de Salud;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IX. Recibir una educación o capacitación basada en criterios de integración e inclusión, tomando en cuenta sus capacidades y potencialidades, mediante evaluaciones pedagógicas, a fin de fortalecer la posibilidad de una vida independiente;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lang w:val="es-ES_tradnl"/>
        </w:rPr>
      </w:pPr>
      <w:r w:rsidRPr="00381236">
        <w:rPr>
          <w:rStyle w:val="negritas"/>
          <w:b w:val="0"/>
          <w:lang w:val="es-ES_tradnl"/>
        </w:rPr>
        <w:t>X.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Contar con maestros especiales en su proceso de integración a escuelas de educación regular, con material didáctico y uso de nuevas tecnologías;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XI. Acceder a los programas gubernamentales para recibir alimentación nutritiva, suficiente, de calidad, y de acuerdo a las necesidades metabólicas propias de su condición;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XII. A crecer y desarrollarse en un medio ambiente sano y en armonía con la naturaleza;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XIII. Ser sujetos de los programas públicos de vivienda, en términos de las disposiciones aplicables, con el fin de disponer de vivienda propia para un alojamiento accesible y adecuado;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XIV. Participar en la vida productiva con dignidad e independencia;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lastRenderedPageBreak/>
        <w:t>XV. Recibir formación y capacitación para obtener un empleo adecuado, sin discriminación ni prejuicios;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XVI. Percibir la remuneración justa por la prestación de su colaboración laboral productiva, que les alcance para alimentarse, vestirse y alojarse adecuadamente, así como también para solventar cualquier otra necesidad vital, en los términos de las disposiciones constitucionales y de las correspondientes leyes reglamentarias;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XVII. Utilizar el servicio del transporte público y privado como medio de libre desplazamiento;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XVIII. Disfrutar de la cultura, de las distracciones, del tiempo libre, de las actividades recreativas y deportivas que coadyuven a su desarrollo físico y mental;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XIX. Tomar decisiones por sí o a través de sus padres o tutores para el ejercicio de sus legítimos derechos;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XX. Gozar de una vida sexual digna y segura;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XXI. Contar con asesoría y asistencia jurídica cuando sus derechos humanos y civiles les sean violados, para resarcirlos y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XXII. Los demás que garanticen su integridad, su dignidad, su bienestar y su plena integración a la sociedad de acuerdo con las distintas disposiciones constitucionales y legales.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 xml:space="preserve">SECCIÓN II 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>OBLIGACIONES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9.-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Son sujetos obligados a garantizar el ejercicio de los derechos descritos en el artículo anterior, los siguientes: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Las instituciones públicas del Estado y los municipios, en el ejercicio de sus respectivas competencias.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II.</w:t>
      </w:r>
      <w:r w:rsidRPr="00381236">
        <w:rPr>
          <w:rStyle w:val="apple-converted-space"/>
          <w:bCs/>
          <w:lang w:val="es-ES_tradnl"/>
        </w:rPr>
        <w:t> </w:t>
      </w:r>
      <w:r w:rsidRPr="00381236">
        <w:rPr>
          <w:lang w:val="es-ES_tradnl"/>
        </w:rPr>
        <w:t>Las instituciones privadas con servicios especializados en la atención de la condición del espectro autista, derivados de la subrogación contratada.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III.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Los padres o tutores para otorgar los alimentos y representar los intereses y los derechos de las personas con la condición del espectro autista.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IV.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Los profesionales de la medicina, educación y demás, que resulten necesarios para alcanzar la habilitación debida de las personas con la condición del espectro autista, y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V.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Todos aquéllos que determine la presente Ley o cualquier otro ordenamiento jurídico que resulte aplicable.</w:t>
      </w:r>
    </w:p>
    <w:p w:rsidR="00381236" w:rsidRPr="00381236" w:rsidRDefault="00381236" w:rsidP="00381236">
      <w:pPr>
        <w:pStyle w:val="sangria"/>
        <w:shd w:val="clear" w:color="auto" w:fill="FFFFFF"/>
        <w:spacing w:before="0" w:beforeAutospacing="0" w:after="0" w:afterAutospacing="0"/>
        <w:jc w:val="center"/>
        <w:rPr>
          <w:lang w:val="es-ES_tradnl"/>
        </w:rPr>
      </w:pPr>
      <w:r w:rsidRPr="00381236">
        <w:rPr>
          <w:lang w:val="es-ES_tradnl"/>
        </w:rPr>
        <w:t>CAPÍTULO TERCERO</w:t>
      </w:r>
    </w:p>
    <w:p w:rsidR="00CD3988" w:rsidRDefault="00381236" w:rsidP="00CD3988">
      <w:pPr>
        <w:pStyle w:val="sangria"/>
        <w:shd w:val="clear" w:color="auto" w:fill="FFFFFF"/>
        <w:spacing w:before="0" w:beforeAutospacing="0" w:after="0" w:afterAutospacing="0"/>
        <w:jc w:val="center"/>
        <w:rPr>
          <w:lang w:val="es-ES_tradnl"/>
        </w:rPr>
      </w:pPr>
      <w:r w:rsidRPr="00381236">
        <w:rPr>
          <w:lang w:val="es-ES_tradnl"/>
        </w:rPr>
        <w:t xml:space="preserve">COMISIÓN </w:t>
      </w:r>
    </w:p>
    <w:p w:rsidR="00381236" w:rsidRPr="00381236" w:rsidRDefault="00381236" w:rsidP="00CD3988">
      <w:pPr>
        <w:pStyle w:val="sangria"/>
        <w:shd w:val="clear" w:color="auto" w:fill="FFFFFF"/>
        <w:spacing w:before="240" w:beforeAutospacing="0" w:after="240" w:afterAutospacing="0"/>
        <w:ind w:firstLine="709"/>
        <w:jc w:val="center"/>
        <w:rPr>
          <w:lang w:val="es-ES_tradnl"/>
        </w:rPr>
      </w:pPr>
      <w:r w:rsidRPr="00381236">
        <w:rPr>
          <w:lang w:val="es-ES_tradnl"/>
        </w:rPr>
        <w:lastRenderedPageBreak/>
        <w:t>Artículo 10.- Se constituye la Comisión como una instancia de carácter permanente del Poder Ejecutivo Estatal que tendrá por objeto garantizar que la ejecución de los programas en materia de atención a las personas con la condición del espectro autista se realice de manera coordinada.</w:t>
      </w:r>
      <w:r w:rsidRPr="00381236">
        <w:rPr>
          <w:lang w:val="es-ES_tradnl"/>
        </w:rPr>
        <w:tab/>
      </w: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Los acuerdos adoptados en el seno de la Comisión serán obligatorios, por lo que las autoridades competentes deberán cumplirlos a fin de lograr los objetivos de la presente ley.</w:t>
      </w:r>
    </w:p>
    <w:p w:rsidR="00381236" w:rsidRPr="00381236" w:rsidRDefault="00381236" w:rsidP="00F21B86">
      <w:pPr>
        <w:pStyle w:val="sangria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Artículo 11.- La Comisión estará integrada por los titulares de las siguientes dependencias de la Administración Pública Estatal: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I.</w:t>
      </w:r>
      <w:r w:rsidRPr="00381236">
        <w:rPr>
          <w:lang w:val="es-ES_tradnl"/>
        </w:rPr>
        <w:tab/>
        <w:t>La Secretaría, quien presidirá la Comisión;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II.</w:t>
      </w:r>
      <w:r w:rsidRPr="00381236">
        <w:rPr>
          <w:lang w:val="es-ES_tradnl"/>
        </w:rPr>
        <w:tab/>
        <w:t>La Secretaría de Educación y Bienestar Social;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III.</w:t>
      </w:r>
      <w:r w:rsidRPr="00381236">
        <w:rPr>
          <w:lang w:val="es-ES_tradnl"/>
        </w:rPr>
        <w:tab/>
        <w:t>La Secretaría del Trabajo y Previsión Social;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IV.</w:t>
      </w:r>
      <w:r w:rsidRPr="00381236">
        <w:rPr>
          <w:lang w:val="es-ES_tradnl"/>
        </w:rPr>
        <w:tab/>
        <w:t>La Secretaría de Desarrollo Social;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V.</w:t>
      </w:r>
      <w:r w:rsidRPr="00381236">
        <w:rPr>
          <w:lang w:val="es-ES_tradnl"/>
        </w:rPr>
        <w:tab/>
        <w:t>La Secretaría General de Gobierno y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VI.</w:t>
      </w:r>
      <w:r w:rsidRPr="00381236">
        <w:rPr>
          <w:lang w:val="es-ES_tradnl"/>
        </w:rPr>
        <w:tab/>
        <w:t>La Secretaría de Planeación y Finanzas.</w:t>
      </w:r>
    </w:p>
    <w:p w:rsidR="00381236" w:rsidRPr="00381236" w:rsidRDefault="00381236" w:rsidP="00381236">
      <w:pPr>
        <w:pStyle w:val="sangria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El Instituto de Seguridad y Servicios Sociales de los Trabajadores del Gobierno y Municipios del Estado de Baja California será invitado permanente de la Comisión.</w:t>
      </w: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Los integrantes de la Comisión podrán designar a sus respectivos suplentes.</w:t>
      </w: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La Comisión, a través de su Presidente, podrá convocar a las sesiones a otras dependencias del Poder Ejecutivo Estatal y a entidades del sector público, con objeto de que informen de los asuntos de su competencia, relacionados con la atención de las personas con la condición del espectro autista.</w:t>
      </w: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La Comisión aprovechará las capacidades institucionales de las estructuras administrativas de sus integrantes para el desarrollo de sus funciones. La participación de los integrantes e invitados a la Comisión será de carácter honorífico.</w:t>
      </w: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</w:p>
    <w:p w:rsidR="00381236" w:rsidRPr="00381236" w:rsidRDefault="00381236" w:rsidP="00F21B86">
      <w:pPr>
        <w:pStyle w:val="sangria"/>
        <w:shd w:val="clear" w:color="auto" w:fill="FFFFFF"/>
        <w:spacing w:before="0" w:beforeAutospacing="0" w:after="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La Comisión contará con una Secretaría Técnica, misma que estará a cargo de un funcionario de la Secretaría.</w:t>
      </w:r>
    </w:p>
    <w:p w:rsidR="00381236" w:rsidRPr="00381236" w:rsidRDefault="00381236" w:rsidP="00F21B86">
      <w:pPr>
        <w:pStyle w:val="sangria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Artículo 12.- Para el cumplimiento de su objeto, la Comisión tendrá las siguientes funciones:</w:t>
      </w:r>
    </w:p>
    <w:p w:rsidR="00381236" w:rsidRPr="00381236" w:rsidRDefault="00381236" w:rsidP="00F21B86">
      <w:pPr>
        <w:pStyle w:val="sangria"/>
        <w:shd w:val="clear" w:color="auto" w:fill="FFFFFF"/>
        <w:tabs>
          <w:tab w:val="left" w:pos="993"/>
        </w:tabs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I.</w:t>
      </w:r>
      <w:r w:rsidRPr="00381236">
        <w:rPr>
          <w:lang w:val="es-ES_tradnl"/>
        </w:rPr>
        <w:tab/>
        <w:t>Coordinar y dar el seguimiento correspondiente a las acciones que, en el ámbito de su competencia, deban realizar las dependencias y entidades de la Administración Pública Estatal en la materia de la presente Ley, así como elaborar las políticas públicas correspondientes en la materia;</w:t>
      </w:r>
    </w:p>
    <w:p w:rsidR="00381236" w:rsidRPr="00381236" w:rsidRDefault="00381236" w:rsidP="00F21B86">
      <w:pPr>
        <w:pStyle w:val="sangria"/>
        <w:shd w:val="clear" w:color="auto" w:fill="FFFFFF"/>
        <w:tabs>
          <w:tab w:val="left" w:pos="993"/>
        </w:tabs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II.</w:t>
      </w:r>
      <w:r w:rsidRPr="00381236">
        <w:rPr>
          <w:lang w:val="es-ES_tradnl"/>
        </w:rPr>
        <w:tab/>
        <w:t xml:space="preserve">Apoyar y proponer mecanismos de coordinación entre las autoridades del Estado y municipios para la eficaz ejecución de los programas en materia de atención a las personas con la </w:t>
      </w:r>
      <w:r w:rsidRPr="00381236">
        <w:rPr>
          <w:lang w:val="es-ES_tradnl"/>
        </w:rPr>
        <w:lastRenderedPageBreak/>
        <w:t>condición del espectro autista, y vigilar el desarrollo de las acciones derivadas de la citada coordinación, de acuerdo con el criterio de transversalidad previsto en la presente Ley;</w:t>
      </w:r>
    </w:p>
    <w:p w:rsidR="00381236" w:rsidRPr="00381236" w:rsidRDefault="00381236" w:rsidP="00F21B86">
      <w:pPr>
        <w:pStyle w:val="sangria"/>
        <w:keepNext/>
        <w:widowControl w:val="0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III.</w:t>
      </w:r>
      <w:r w:rsidRPr="00381236">
        <w:rPr>
          <w:lang w:val="es-ES_tradnl"/>
        </w:rPr>
        <w:tab/>
        <w:t>Apoyar y proponer mecanismos de concertación con los sectores social y privado, en términos de la Ley de Planeación para el Estado, a fin de dar cumplimiento al principio de transversalidad, así como vigilar la ejecución y resultado de los mismos;</w:t>
      </w:r>
    </w:p>
    <w:p w:rsidR="00381236" w:rsidRPr="00381236" w:rsidRDefault="00381236" w:rsidP="00F21B86">
      <w:pPr>
        <w:pStyle w:val="sangria"/>
        <w:keepNext/>
        <w:widowControl w:val="0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IV.</w:t>
      </w:r>
      <w:r w:rsidRPr="00381236">
        <w:rPr>
          <w:lang w:val="es-ES_tradnl"/>
        </w:rPr>
        <w:tab/>
        <w:t>Apoyar la promoción de las políticas, estrategias y acciones en la materia de la presente Ley, así como promover, en su caso, las adecuaciones y modificaciones necesarias a las mismas;</w:t>
      </w:r>
    </w:p>
    <w:p w:rsidR="00381236" w:rsidRPr="00381236" w:rsidRDefault="00381236" w:rsidP="00F21B86">
      <w:pPr>
        <w:pStyle w:val="sangria"/>
        <w:shd w:val="clear" w:color="auto" w:fill="FFFFFF"/>
        <w:tabs>
          <w:tab w:val="left" w:pos="993"/>
        </w:tabs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V.</w:t>
      </w:r>
      <w:r w:rsidRPr="00381236">
        <w:rPr>
          <w:lang w:val="es-ES_tradnl"/>
        </w:rPr>
        <w:tab/>
        <w:t>Proponer al Ejecutivo Estatal las políticas y criterios para la formulación de programas y acciones de las dependencias y entidades de la Administración Pública Estatal en materia de atención de las personas con la condición del espectro autista, y</w:t>
      </w:r>
    </w:p>
    <w:p w:rsidR="00381236" w:rsidRPr="00381236" w:rsidRDefault="00381236" w:rsidP="00F21B86">
      <w:pPr>
        <w:pStyle w:val="sangria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lang w:val="es-ES_tradnl"/>
        </w:rPr>
        <w:t>VI.</w:t>
      </w:r>
      <w:r w:rsidRPr="00381236">
        <w:rPr>
          <w:lang w:val="es-ES_tradnl"/>
        </w:rPr>
        <w:tab/>
        <w:t>Las demás que determine el Titular del Poder Ejecutivo Estatal.</w:t>
      </w:r>
    </w:p>
    <w:p w:rsidR="00381236" w:rsidRPr="00381236" w:rsidRDefault="00381236" w:rsidP="00381236">
      <w:pPr>
        <w:pStyle w:val="sangria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>CAPÍTULO CUARTO</w:t>
      </w:r>
      <w:r w:rsidRPr="00381236">
        <w:rPr>
          <w:bCs/>
          <w:lang w:val="es-ES_tradnl"/>
        </w:rPr>
        <w:br/>
        <w:t>PROHIBICIONES Y SANCIONES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>SECCIÓN I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>PROHIBICIONES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13.-</w:t>
      </w:r>
      <w:r w:rsidRPr="00381236">
        <w:rPr>
          <w:rStyle w:val="apple-converted-space"/>
          <w:bCs/>
          <w:lang w:val="es-ES_tradnl"/>
        </w:rPr>
        <w:t> </w:t>
      </w:r>
      <w:r w:rsidRPr="00381236">
        <w:rPr>
          <w:lang w:val="es-ES_tradnl"/>
        </w:rPr>
        <w:t>Queda estrictamente prohibido para la atención y preservación de los derechos de las personas en la condición de los trastornos del espectro autista y sus familias: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Rechazar su atención en clínicas y hospitales del sector público y privado.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Negar la orientación necesaria para un diagnóstico y tratamiento adecuado, y desestimar el traslado de individuos a instituciones especializadas, en el supuesto de carecer de los conocimientos necesarios para su atención adecuada.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III.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Actuar con negligencia y realizar acciones que pongan en riesgo la salud de las personas, así como aplicar terapias riesgosas, indicar sobre-medicación que altere el grado de la condición u ordenar internamientos injustificados en instituciones psiquiátricas.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IV.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Impedir o desautorizar la inscripción en los planteles educativos públicos y privados.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V.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Permitir que niños y jóvenes sean víctimas de burlas y agresiones que atenten contra su dignidad y estabilidad emocional por parte de sus maestros y compañeros.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VI.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Impedir el acceso a servicios públicos y privados de carácter cultural, deportivo, recreativo, así como de transportación.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VII.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Rehusar el derecho a contratar seguros de gastos médicos.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VIII.</w:t>
      </w:r>
      <w:r w:rsidRPr="00381236">
        <w:rPr>
          <w:rStyle w:val="apple-converted-space"/>
          <w:bCs/>
          <w:lang w:val="es-ES_tradnl"/>
        </w:rPr>
        <w:t> </w:t>
      </w:r>
      <w:r w:rsidRPr="00381236">
        <w:rPr>
          <w:lang w:val="es-ES_tradnl"/>
        </w:rPr>
        <w:t>Abusar de las personas en el ámbito laboral.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IX.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Negar la asesoría jurídica necesaria para el ejercicio de sus derechos civiles.</w:t>
      </w:r>
    </w:p>
    <w:p w:rsidR="00381236" w:rsidRPr="00381236" w:rsidRDefault="00381236" w:rsidP="00F21B86">
      <w:pPr>
        <w:pStyle w:val="sangria"/>
        <w:shd w:val="clear" w:color="auto" w:fill="FFFFFF"/>
        <w:spacing w:before="120" w:beforeAutospacing="0" w:after="12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lastRenderedPageBreak/>
        <w:t>X.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Todas aquellas acciones que atenten o pretendan desvirtuar lo dispuesto en la presente Ley y los demás ordenamientos aplicables.</w:t>
      </w:r>
    </w:p>
    <w:p w:rsidR="00381236" w:rsidRP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SECCIÓN II</w:t>
      </w:r>
    </w:p>
    <w:p w:rsidR="00381236" w:rsidRPr="00381236" w:rsidRDefault="00381236" w:rsidP="00381236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s-ES_tradnl"/>
        </w:rPr>
      </w:pPr>
      <w:r w:rsidRPr="00381236">
        <w:rPr>
          <w:rStyle w:val="negritas"/>
          <w:b w:val="0"/>
          <w:lang w:val="es-ES_tradnl"/>
        </w:rPr>
        <w:t>SANCIONES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Artículo 14.-</w:t>
      </w:r>
      <w:r w:rsidRPr="00381236">
        <w:rPr>
          <w:rStyle w:val="apple-converted-space"/>
          <w:bCs/>
          <w:lang w:val="es-ES_tradnl"/>
        </w:rPr>
        <w:t> </w:t>
      </w:r>
      <w:r w:rsidRPr="00381236">
        <w:rPr>
          <w:lang w:val="es-ES_tradnl"/>
        </w:rPr>
        <w:t xml:space="preserve">Las responsabilidades y faltas administrativas, así como los hechos delictivos que eventualmente se cometan por la indebida observancia a la presente Ley, se sancionarán en los términos de las leyes administrativas y penales aplicables que correspondan. </w:t>
      </w:r>
    </w:p>
    <w:p w:rsidR="00381236" w:rsidRPr="00381236" w:rsidRDefault="00381236" w:rsidP="00381236">
      <w:pPr>
        <w:pStyle w:val="centrar"/>
        <w:shd w:val="clear" w:color="auto" w:fill="FFFFFF"/>
        <w:spacing w:before="0" w:beforeAutospacing="0" w:after="0" w:afterAutospacing="0"/>
        <w:jc w:val="center"/>
        <w:rPr>
          <w:bCs/>
          <w:lang w:val="es-ES_tradnl"/>
        </w:rPr>
      </w:pPr>
      <w:r w:rsidRPr="00381236">
        <w:rPr>
          <w:bCs/>
          <w:lang w:val="es-ES_tradnl"/>
        </w:rPr>
        <w:t>ARTÍCULOS TRANSITORIOS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rStyle w:val="negritas"/>
          <w:b w:val="0"/>
          <w:bCs w:val="0"/>
          <w:lang w:val="es-ES_tradnl"/>
        </w:rPr>
      </w:pPr>
      <w:r w:rsidRPr="00381236">
        <w:rPr>
          <w:rStyle w:val="negritas"/>
          <w:b w:val="0"/>
          <w:lang w:val="es-ES_tradnl"/>
        </w:rPr>
        <w:t>PRIMERO.</w:t>
      </w:r>
      <w:r w:rsidRPr="00381236">
        <w:t>- </w:t>
      </w:r>
      <w:r w:rsidRPr="00381236">
        <w:rPr>
          <w:lang w:val="es-ES_tradnl"/>
        </w:rPr>
        <w:t>El presente Decreto entrará en vigor noventa días hábiles posteriores al de su publicación en el Periódico Oficial del Estado.</w:t>
      </w:r>
    </w:p>
    <w:p w:rsidR="00381236" w:rsidRPr="00381236" w:rsidRDefault="00381236" w:rsidP="00F21B8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lang w:val="es-ES_tradnl"/>
        </w:rPr>
      </w:pPr>
      <w:r w:rsidRPr="00381236">
        <w:rPr>
          <w:rStyle w:val="negritas"/>
          <w:b w:val="0"/>
          <w:lang w:val="es-ES_tradnl"/>
        </w:rPr>
        <w:t>SEGUNDO.-</w:t>
      </w:r>
      <w:r w:rsidRPr="00381236">
        <w:rPr>
          <w:rStyle w:val="apple-converted-space"/>
          <w:lang w:val="es-ES_tradnl"/>
        </w:rPr>
        <w:t> </w:t>
      </w:r>
      <w:r w:rsidRPr="00381236">
        <w:rPr>
          <w:lang w:val="es-ES_tradnl"/>
        </w:rPr>
        <w:t>Las acciones que las dependencias y entidades de la Administración Pública Estatal deban realizar para dar cumplimiento a lo establecido en el presente Decreto, se sujetarán a la disponibilidad presupuestaria aprobada para tal fin en el Presupuesto de Egresos respectivo.</w:t>
      </w:r>
    </w:p>
    <w:p w:rsidR="00381236" w:rsidRPr="00381236" w:rsidRDefault="00381236" w:rsidP="00F21B86">
      <w:pPr>
        <w:spacing w:before="240" w:after="240"/>
        <w:ind w:firstLine="709"/>
        <w:jc w:val="both"/>
      </w:pPr>
      <w:r w:rsidRPr="00381236">
        <w:rPr>
          <w:rStyle w:val="negritas"/>
          <w:b w:val="0"/>
          <w:lang w:val="es-ES_tradnl" w:eastAsia="es-MX"/>
        </w:rPr>
        <w:t>TERCERO.- El Poder Ejecutivo Estatal expedirá las disposiciones reglamentarias aplicables, en un plazo no mayor a 6 meses a partir de la entrada en vigor del presente decreto.</w:t>
      </w:r>
    </w:p>
    <w:p w:rsidR="005A1CC3" w:rsidRDefault="00381236" w:rsidP="00F21B86">
      <w:pPr>
        <w:spacing w:before="240" w:after="240"/>
        <w:ind w:firstLine="709"/>
        <w:jc w:val="both"/>
        <w:rPr>
          <w:bCs/>
          <w:color w:val="000000"/>
          <w:lang w:eastAsia="es-MX"/>
        </w:rPr>
      </w:pPr>
      <w:r w:rsidRPr="00381236">
        <w:t xml:space="preserve">DADO </w:t>
      </w:r>
      <w:r w:rsidRPr="00381236">
        <w:rPr>
          <w:bCs/>
          <w:color w:val="000000"/>
          <w:lang w:eastAsia="es-MX"/>
        </w:rPr>
        <w:t>en el Salón de Sesiones “Lic. Benito Juárez García” del H. Poder Legislativo del Estado de Baja California, en la Ciudad de Mexicali, B.C., a los veintidós días del mes de septiembre del año dos mil dieciséis.</w:t>
      </w:r>
    </w:p>
    <w:p w:rsidR="00F21B86" w:rsidRPr="00B64C8F" w:rsidRDefault="00F21B86" w:rsidP="00F21B86">
      <w:pPr>
        <w:pStyle w:val="Ttulo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B64C8F">
        <w:rPr>
          <w:rFonts w:ascii="Times New Roman" w:hAnsi="Times New Roman"/>
          <w:b w:val="0"/>
          <w:sz w:val="24"/>
          <w:szCs w:val="24"/>
          <w:lang w:val="es-MX"/>
        </w:rPr>
        <w:t xml:space="preserve">DIP. </w:t>
      </w:r>
      <w:r w:rsidRPr="00B64C8F">
        <w:rPr>
          <w:rFonts w:ascii="Times New Roman" w:hAnsi="Times New Roman"/>
          <w:b w:val="0"/>
          <w:sz w:val="24"/>
          <w:szCs w:val="24"/>
          <w:lang w:val="es-ES"/>
        </w:rPr>
        <w:t>MÓNICA BEDOYA SERNA</w:t>
      </w:r>
      <w:r w:rsidRPr="00B64C8F">
        <w:rPr>
          <w:rFonts w:ascii="Times New Roman" w:hAnsi="Times New Roman"/>
          <w:b w:val="0"/>
          <w:sz w:val="24"/>
          <w:szCs w:val="24"/>
          <w:lang w:val="es-MX"/>
        </w:rPr>
        <w:t xml:space="preserve">                   </w:t>
      </w:r>
    </w:p>
    <w:p w:rsidR="00F21B86" w:rsidRPr="00B64C8F" w:rsidRDefault="00F21B86" w:rsidP="00F21B86">
      <w:pPr>
        <w:pStyle w:val="Ttulo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es-MX"/>
        </w:rPr>
      </w:pPr>
      <w:r w:rsidRPr="00B64C8F">
        <w:rPr>
          <w:rFonts w:ascii="Times New Roman" w:hAnsi="Times New Roman"/>
          <w:b w:val="0"/>
          <w:bCs w:val="0"/>
          <w:sz w:val="24"/>
          <w:szCs w:val="24"/>
          <w:lang w:val="es-MX"/>
        </w:rPr>
        <w:t>PRESIDENTA</w:t>
      </w:r>
    </w:p>
    <w:p w:rsidR="00F21B86" w:rsidRPr="00B64C8F" w:rsidRDefault="00F21B86" w:rsidP="00F21B86">
      <w:pPr>
        <w:jc w:val="both"/>
        <w:rPr>
          <w:lang/>
        </w:rPr>
      </w:pPr>
      <w:r w:rsidRPr="00B64C8F">
        <w:rPr>
          <w:lang/>
        </w:rPr>
        <w:t>(RUBRICA)</w:t>
      </w:r>
    </w:p>
    <w:p w:rsidR="00F21B86" w:rsidRPr="00B64C8F" w:rsidRDefault="00F21B86" w:rsidP="00F21B86">
      <w:pPr>
        <w:jc w:val="both"/>
        <w:rPr>
          <w:lang/>
        </w:rPr>
      </w:pPr>
    </w:p>
    <w:p w:rsidR="00F21B86" w:rsidRPr="00B64C8F" w:rsidRDefault="00F21B86" w:rsidP="00F21B86">
      <w:pPr>
        <w:pStyle w:val="Ttulo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B64C8F">
        <w:rPr>
          <w:rFonts w:ascii="Times New Roman" w:hAnsi="Times New Roman"/>
          <w:b w:val="0"/>
          <w:sz w:val="24"/>
          <w:szCs w:val="24"/>
          <w:lang w:val="es-MX"/>
        </w:rPr>
        <w:t xml:space="preserve">DIP. </w:t>
      </w:r>
      <w:r w:rsidRPr="00B64C8F">
        <w:rPr>
          <w:rFonts w:ascii="Times New Roman" w:hAnsi="Times New Roman"/>
          <w:b w:val="0"/>
          <w:sz w:val="24"/>
          <w:szCs w:val="24"/>
          <w:lang w:val="es-ES"/>
        </w:rPr>
        <w:t>ROSA ISELA PERALTA CASILLAS</w:t>
      </w:r>
    </w:p>
    <w:p w:rsidR="00F21B86" w:rsidRPr="00B64C8F" w:rsidRDefault="00F21B86" w:rsidP="00F21B86">
      <w:pPr>
        <w:jc w:val="both"/>
        <w:rPr>
          <w:iCs/>
        </w:rPr>
      </w:pPr>
      <w:r w:rsidRPr="00B64C8F">
        <w:rPr>
          <w:iCs/>
        </w:rPr>
        <w:t>SECRETARIA</w:t>
      </w:r>
    </w:p>
    <w:p w:rsidR="00F21B86" w:rsidRPr="00B64C8F" w:rsidRDefault="00F21B86" w:rsidP="00F21B86">
      <w:pPr>
        <w:jc w:val="both"/>
        <w:rPr>
          <w:iCs/>
        </w:rPr>
      </w:pPr>
      <w:r w:rsidRPr="00B64C8F">
        <w:rPr>
          <w:iCs/>
        </w:rPr>
        <w:t>(RUBRICA)</w:t>
      </w:r>
    </w:p>
    <w:p w:rsidR="00F21B86" w:rsidRPr="00B64C8F" w:rsidRDefault="00F21B86" w:rsidP="00F21B86">
      <w:pPr>
        <w:jc w:val="both"/>
        <w:rPr>
          <w:iCs/>
        </w:rPr>
      </w:pPr>
    </w:p>
    <w:p w:rsidR="00F21B86" w:rsidRPr="00B64C8F" w:rsidRDefault="00F21B86" w:rsidP="00F21B86">
      <w:pPr>
        <w:pStyle w:val="leyes"/>
        <w:spacing w:before="0" w:after="0"/>
        <w:ind w:firstLine="709"/>
        <w:rPr>
          <w:szCs w:val="24"/>
          <w:lang w:val="es-MX"/>
        </w:rPr>
      </w:pPr>
      <w:r w:rsidRPr="00B64C8F">
        <w:rPr>
          <w:szCs w:val="24"/>
          <w:lang w:val="es-MX"/>
        </w:rPr>
        <w:t>DE CONFORMIDAD CON LO DISPUESTO POR LA FRACCION I DEL ARTÍCULO 49 DE LA CONSTITUCIÓN POLÍTICA DEL ESTADO, IMPRIMASE Y PUBLIQUESE.</w:t>
      </w:r>
    </w:p>
    <w:p w:rsidR="00F21B86" w:rsidRPr="00B64C8F" w:rsidRDefault="00F21B86" w:rsidP="00F21B86">
      <w:pPr>
        <w:pStyle w:val="leyes"/>
        <w:spacing w:before="0" w:after="0"/>
        <w:ind w:firstLine="0"/>
        <w:rPr>
          <w:szCs w:val="24"/>
          <w:lang w:val="es-MX"/>
        </w:rPr>
      </w:pPr>
      <w:r w:rsidRPr="00B64C8F">
        <w:rPr>
          <w:szCs w:val="24"/>
          <w:lang w:val="es-MX"/>
        </w:rPr>
        <w:tab/>
      </w:r>
    </w:p>
    <w:p w:rsidR="00F21B86" w:rsidRPr="00B64C8F" w:rsidRDefault="00F21B86" w:rsidP="00CD3988">
      <w:pPr>
        <w:pStyle w:val="leyes"/>
        <w:spacing w:before="0" w:after="0"/>
        <w:ind w:firstLine="709"/>
        <w:rPr>
          <w:szCs w:val="24"/>
          <w:lang w:val="es-MX"/>
        </w:rPr>
      </w:pPr>
      <w:r w:rsidRPr="00B64C8F">
        <w:rPr>
          <w:szCs w:val="24"/>
          <w:lang w:val="es-MX"/>
        </w:rPr>
        <w:t xml:space="preserve">MEXICALI, BAJA CALIFORNIA, A LOS </w:t>
      </w:r>
      <w:r>
        <w:rPr>
          <w:szCs w:val="24"/>
          <w:lang w:val="es-MX"/>
        </w:rPr>
        <w:t>TRES</w:t>
      </w:r>
      <w:r w:rsidRPr="00B64C8F">
        <w:rPr>
          <w:szCs w:val="24"/>
          <w:lang w:val="es-MX"/>
        </w:rPr>
        <w:t xml:space="preserve"> DÍAS DEL MES DE </w:t>
      </w:r>
      <w:r>
        <w:rPr>
          <w:szCs w:val="24"/>
          <w:lang w:val="es-MX"/>
        </w:rPr>
        <w:t>OCTUBRE</w:t>
      </w:r>
      <w:r w:rsidRPr="00B64C8F">
        <w:rPr>
          <w:szCs w:val="24"/>
          <w:lang w:val="es-MX"/>
        </w:rPr>
        <w:t xml:space="preserve"> DEL AÑO DOS MIL DIECISÉIS.</w:t>
      </w:r>
    </w:p>
    <w:p w:rsidR="00F21B86" w:rsidRPr="00B64C8F" w:rsidRDefault="00F21B86" w:rsidP="00F21B86">
      <w:pPr>
        <w:autoSpaceDE w:val="0"/>
        <w:autoSpaceDN w:val="0"/>
        <w:ind w:firstLine="708"/>
        <w:jc w:val="both"/>
      </w:pPr>
    </w:p>
    <w:p w:rsidR="00F21B86" w:rsidRPr="00B64C8F" w:rsidRDefault="00F21B86" w:rsidP="00F21B86">
      <w:pPr>
        <w:autoSpaceDE w:val="0"/>
        <w:autoSpaceDN w:val="0"/>
        <w:jc w:val="both"/>
      </w:pPr>
      <w:r w:rsidRPr="00B64C8F">
        <w:t>FRANCISCO ARTURO VEGA DE LAMADRID</w:t>
      </w:r>
    </w:p>
    <w:p w:rsidR="00F21B86" w:rsidRPr="00B64C8F" w:rsidRDefault="00F21B86" w:rsidP="00F21B86">
      <w:pPr>
        <w:autoSpaceDE w:val="0"/>
        <w:autoSpaceDN w:val="0"/>
        <w:jc w:val="both"/>
      </w:pPr>
      <w:r w:rsidRPr="00B64C8F">
        <w:t>GOBERNADOR DEL ESTADO</w:t>
      </w:r>
    </w:p>
    <w:p w:rsidR="00F21B86" w:rsidRPr="00B64C8F" w:rsidRDefault="00F21B86" w:rsidP="00F21B86">
      <w:pPr>
        <w:autoSpaceDE w:val="0"/>
        <w:autoSpaceDN w:val="0"/>
        <w:jc w:val="both"/>
      </w:pPr>
      <w:r w:rsidRPr="00B64C8F">
        <w:t>(RÚBRICA)</w:t>
      </w:r>
    </w:p>
    <w:p w:rsidR="00F21B86" w:rsidRPr="00B64C8F" w:rsidRDefault="00F21B86" w:rsidP="00F21B86">
      <w:pPr>
        <w:autoSpaceDE w:val="0"/>
        <w:autoSpaceDN w:val="0"/>
        <w:jc w:val="both"/>
      </w:pPr>
    </w:p>
    <w:p w:rsidR="00CD3988" w:rsidRDefault="00CD3988" w:rsidP="00F21B86">
      <w:pPr>
        <w:autoSpaceDE w:val="0"/>
        <w:autoSpaceDN w:val="0"/>
        <w:jc w:val="both"/>
      </w:pPr>
    </w:p>
    <w:p w:rsidR="00F21B86" w:rsidRPr="00B64C8F" w:rsidRDefault="00F21B86" w:rsidP="00F21B86">
      <w:pPr>
        <w:autoSpaceDE w:val="0"/>
        <w:autoSpaceDN w:val="0"/>
        <w:jc w:val="both"/>
      </w:pPr>
      <w:r w:rsidRPr="00B64C8F">
        <w:lastRenderedPageBreak/>
        <w:t>FRANCISCO RUEDA GOMEZ</w:t>
      </w:r>
    </w:p>
    <w:p w:rsidR="00F21B86" w:rsidRPr="00B64C8F" w:rsidRDefault="00F21B86" w:rsidP="00F21B86">
      <w:pPr>
        <w:autoSpaceDE w:val="0"/>
        <w:autoSpaceDN w:val="0"/>
        <w:jc w:val="both"/>
      </w:pPr>
      <w:r w:rsidRPr="00B64C8F">
        <w:t>SECRETARIO GENERAL DE GOBIERNO</w:t>
      </w:r>
    </w:p>
    <w:p w:rsidR="00F21B86" w:rsidRPr="00381236" w:rsidRDefault="00F21B86" w:rsidP="00F21B86">
      <w:pPr>
        <w:jc w:val="both"/>
      </w:pPr>
      <w:r w:rsidRPr="00B64C8F">
        <w:t>(RÚBRICA)</w:t>
      </w:r>
    </w:p>
    <w:sectPr w:rsidR="00F21B86" w:rsidRPr="00381236" w:rsidSect="00CD3988">
      <w:headerReference w:type="default" r:id="rId6"/>
      <w:footerReference w:type="default" r:id="rId7"/>
      <w:pgSz w:w="12240" w:h="15840" w:code="1"/>
      <w:pgMar w:top="1412" w:right="1185" w:bottom="1412" w:left="1134" w:header="425" w:footer="405" w:gutter="0"/>
      <w:paperSrc w:first="270" w:other="27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4D" w:rsidRDefault="005E1E4D" w:rsidP="00381236">
      <w:r>
        <w:separator/>
      </w:r>
    </w:p>
  </w:endnote>
  <w:endnote w:type="continuationSeparator" w:id="0">
    <w:p w:rsidR="005E1E4D" w:rsidRDefault="005E1E4D" w:rsidP="0038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86" w:rsidRPr="001B7A85" w:rsidRDefault="00CD3988" w:rsidP="00CD3988">
    <w:pPr>
      <w:pStyle w:val="Piedepgina"/>
      <w:pBdr>
        <w:top w:val="thinThickSmallGap" w:sz="24" w:space="3" w:color="622423"/>
      </w:pBdr>
      <w:tabs>
        <w:tab w:val="clear" w:pos="9360"/>
      </w:tabs>
      <w:ind w:firstLine="4248"/>
      <w:jc w:val="right"/>
      <w:rPr>
        <w:rFonts w:ascii="Cambria" w:hAnsi="Cambr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left:0;text-align:left;margin-left:.9pt;margin-top:8.95pt;width:393.15pt;height:26.4pt;z-index:251657728;visibility:visible;mso-width-relative:margin;mso-height-relative:margin" stroked="f">
          <v:textbox>
            <w:txbxContent>
              <w:p w:rsidR="00CD3988" w:rsidRPr="00CD3988" w:rsidRDefault="00CD3988">
                <w:pPr>
                  <w:rPr>
                    <w:i/>
                    <w:sz w:val="20"/>
                    <w:szCs w:val="20"/>
                  </w:rPr>
                </w:pPr>
                <w:r w:rsidRPr="00CD3988">
                  <w:rPr>
                    <w:i/>
                    <w:sz w:val="20"/>
                    <w:szCs w:val="20"/>
                  </w:rPr>
                  <w:t>Ley de Atención y Protección a Personas con Autismo para el Estado de B</w:t>
                </w:r>
                <w:r>
                  <w:rPr>
                    <w:i/>
                    <w:sz w:val="20"/>
                    <w:szCs w:val="20"/>
                  </w:rPr>
                  <w:t xml:space="preserve">aja </w:t>
                </w:r>
                <w:r w:rsidRPr="00CD3988">
                  <w:rPr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sz w:val="20"/>
                    <w:szCs w:val="20"/>
                  </w:rPr>
                  <w:t>California</w:t>
                </w:r>
              </w:p>
            </w:txbxContent>
          </v:textbox>
        </v:shape>
      </w:pict>
    </w:r>
    <w:r w:rsidR="00F21B86" w:rsidRPr="001B7A85">
      <w:rPr>
        <w:rFonts w:ascii="Cambria" w:hAnsi="Cambria"/>
        <w:lang w:val="es-ES"/>
      </w:rPr>
      <w:t xml:space="preserve">                                            </w:t>
    </w:r>
    <w:r w:rsidR="00F21B86">
      <w:rPr>
        <w:rFonts w:ascii="Cambria" w:hAnsi="Cambria"/>
        <w:lang w:val="es-ES"/>
      </w:rPr>
      <w:t xml:space="preserve">                   </w:t>
    </w:r>
    <w:r w:rsidR="00F21B86" w:rsidRPr="00B04563">
      <w:rPr>
        <w:rFonts w:ascii="Cambria" w:hAnsi="Cambria"/>
        <w:lang w:val="es-ES"/>
      </w:rPr>
      <w:t xml:space="preserve">Página </w:t>
    </w:r>
    <w:r w:rsidR="00F21B86" w:rsidRPr="00B04563">
      <w:rPr>
        <w:rFonts w:ascii="Calibri" w:hAnsi="Calibri"/>
      </w:rPr>
      <w:fldChar w:fldCharType="begin"/>
    </w:r>
    <w:r w:rsidR="00F21B86">
      <w:instrText>PAGE   \* MERGEFORMAT</w:instrText>
    </w:r>
    <w:r w:rsidR="00F21B86" w:rsidRPr="00B04563">
      <w:rPr>
        <w:rFonts w:ascii="Calibri" w:hAnsi="Calibri"/>
      </w:rPr>
      <w:fldChar w:fldCharType="separate"/>
    </w:r>
    <w:r w:rsidR="009C18BC" w:rsidRPr="009C18BC">
      <w:rPr>
        <w:rFonts w:ascii="Cambria" w:hAnsi="Cambria"/>
        <w:noProof/>
        <w:lang w:val="es-ES"/>
      </w:rPr>
      <w:t>8</w:t>
    </w:r>
    <w:r w:rsidR="00F21B86" w:rsidRPr="00B04563">
      <w:rPr>
        <w:rFonts w:ascii="Cambria" w:hAnsi="Cambria"/>
      </w:rPr>
      <w:fldChar w:fldCharType="end"/>
    </w:r>
    <w:r w:rsidR="00F21B86">
      <w:rPr>
        <w:rFonts w:ascii="Cambria" w:hAnsi="Cambria"/>
      </w:rPr>
      <w:t xml:space="preserve"> </w:t>
    </w:r>
    <w:r w:rsidR="00F21B86" w:rsidRPr="00DD2547">
      <w:rPr>
        <w:rFonts w:ascii="Cambria" w:hAnsi="Cambria"/>
      </w:rPr>
      <w:tab/>
    </w:r>
  </w:p>
  <w:p w:rsidR="00F21B86" w:rsidRDefault="00F21B86" w:rsidP="00F21B86">
    <w:pPr>
      <w:pStyle w:val="Piedepgina"/>
    </w:pPr>
  </w:p>
  <w:p w:rsidR="00F21B86" w:rsidRDefault="00F21B86">
    <w:pPr>
      <w:pStyle w:val="Piedepgina"/>
    </w:pPr>
  </w:p>
  <w:p w:rsidR="00F21B86" w:rsidRDefault="00CD3988" w:rsidP="00CD3988">
    <w:pPr>
      <w:pStyle w:val="Piedepgina"/>
      <w:tabs>
        <w:tab w:val="clear" w:pos="4680"/>
        <w:tab w:val="clear" w:pos="9360"/>
        <w:tab w:val="left" w:pos="28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4D" w:rsidRDefault="005E1E4D" w:rsidP="00381236">
      <w:r>
        <w:separator/>
      </w:r>
    </w:p>
  </w:footnote>
  <w:footnote w:type="continuationSeparator" w:id="0">
    <w:p w:rsidR="005E1E4D" w:rsidRDefault="005E1E4D" w:rsidP="0038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36" w:rsidRDefault="00381236" w:rsidP="00381236">
    <w:pPr>
      <w:pStyle w:val="Encabezado"/>
    </w:pPr>
  </w:p>
  <w:tbl>
    <w:tblPr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3615"/>
      <w:gridCol w:w="5102"/>
    </w:tblGrid>
    <w:tr w:rsidR="00381236" w:rsidRPr="00F22EAA" w:rsidTr="00381236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1276" w:type="dxa"/>
          <w:vMerge w:val="restart"/>
          <w:vAlign w:val="center"/>
        </w:tcPr>
        <w:p w:rsidR="00381236" w:rsidRDefault="009C18BC" w:rsidP="006F1F5A">
          <w:pPr>
            <w:pStyle w:val="Encabezado"/>
            <w:ind w:left="72"/>
            <w:rPr>
              <w:rFonts w:ascii="CG Omega" w:hAnsi="CG Omega"/>
              <w:sz w:val="16"/>
            </w:rPr>
          </w:pPr>
          <w:r>
            <w:rPr>
              <w:noProof/>
              <w:sz w:val="16"/>
              <w:szCs w:val="16"/>
              <w:lang w:eastAsia="es-MX"/>
            </w:rPr>
            <w:drawing>
              <wp:inline distT="0" distB="0" distL="0" distR="0">
                <wp:extent cx="581025" cy="485775"/>
                <wp:effectExtent l="19050" t="0" r="9525" b="0"/>
                <wp:docPr id="1" name="Imagen 1" descr="Descripción: Descripción: Y:\Logo_XXI_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Y:\Logo_XXI_legisla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7" w:type="dxa"/>
          <w:gridSpan w:val="2"/>
          <w:tcBorders>
            <w:bottom w:val="double" w:sz="4" w:space="0" w:color="auto"/>
          </w:tcBorders>
          <w:vAlign w:val="bottom"/>
        </w:tcPr>
        <w:p w:rsidR="00381236" w:rsidRPr="001D1BF9" w:rsidRDefault="00381236" w:rsidP="006F1F5A">
          <w:pPr>
            <w:pStyle w:val="Encabezado"/>
            <w:rPr>
              <w:rFonts w:ascii="Tahoma" w:hAnsi="Tahoma" w:cs="Tahoma"/>
              <w:b/>
              <w:bCs/>
              <w:sz w:val="10"/>
              <w:szCs w:val="10"/>
            </w:rPr>
          </w:pPr>
        </w:p>
      </w:tc>
    </w:tr>
    <w:tr w:rsidR="00381236" w:rsidTr="00381236">
      <w:tblPrEx>
        <w:tblCellMar>
          <w:top w:w="0" w:type="dxa"/>
          <w:bottom w:w="0" w:type="dxa"/>
        </w:tblCellMar>
      </w:tblPrEx>
      <w:trPr>
        <w:cantSplit/>
        <w:trHeight w:val="50"/>
      </w:trPr>
      <w:tc>
        <w:tcPr>
          <w:tcW w:w="1276" w:type="dxa"/>
          <w:vMerge/>
        </w:tcPr>
        <w:p w:rsidR="00381236" w:rsidRDefault="00381236" w:rsidP="006F1F5A">
          <w:pPr>
            <w:pStyle w:val="Encabezado"/>
            <w:rPr>
              <w:rFonts w:ascii="CG Omega" w:hAnsi="CG Omega"/>
              <w:sz w:val="16"/>
            </w:rPr>
          </w:pPr>
        </w:p>
      </w:tc>
      <w:tc>
        <w:tcPr>
          <w:tcW w:w="8717" w:type="dxa"/>
          <w:gridSpan w:val="2"/>
          <w:tcBorders>
            <w:top w:val="double" w:sz="4" w:space="0" w:color="auto"/>
          </w:tcBorders>
        </w:tcPr>
        <w:p w:rsidR="00381236" w:rsidRDefault="00381236" w:rsidP="006F1F5A">
          <w:pPr>
            <w:pStyle w:val="Encabezado"/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381236" w:rsidRPr="00A01E0A" w:rsidTr="00381236">
      <w:tblPrEx>
        <w:tblCellMar>
          <w:top w:w="0" w:type="dxa"/>
          <w:bottom w:w="0" w:type="dxa"/>
        </w:tblCellMar>
      </w:tblPrEx>
      <w:trPr>
        <w:cantSplit/>
        <w:trHeight w:val="719"/>
      </w:trPr>
      <w:tc>
        <w:tcPr>
          <w:tcW w:w="1276" w:type="dxa"/>
          <w:vMerge/>
        </w:tcPr>
        <w:p w:rsidR="00381236" w:rsidRPr="00A01E0A" w:rsidRDefault="00381236" w:rsidP="006F1F5A">
          <w:pPr>
            <w:pStyle w:val="Encabezado"/>
            <w:rPr>
              <w:rFonts w:ascii="CG Omega" w:hAnsi="CG Omega"/>
              <w:sz w:val="12"/>
              <w:szCs w:val="12"/>
            </w:rPr>
          </w:pPr>
        </w:p>
      </w:tc>
      <w:tc>
        <w:tcPr>
          <w:tcW w:w="3615" w:type="dxa"/>
        </w:tcPr>
        <w:p w:rsidR="00381236" w:rsidRPr="001E5C96" w:rsidRDefault="00381236" w:rsidP="006F1F5A">
          <w:pPr>
            <w:pStyle w:val="Encabezado"/>
            <w:rPr>
              <w:b/>
              <w:i/>
              <w:noProof/>
              <w:sz w:val="16"/>
              <w:szCs w:val="16"/>
              <w:lang w:eastAsia="es-MX"/>
            </w:rPr>
          </w:pPr>
          <w:r w:rsidRPr="001E5C96">
            <w:rPr>
              <w:b/>
              <w:i/>
              <w:noProof/>
              <w:sz w:val="16"/>
              <w:szCs w:val="16"/>
              <w:lang w:eastAsia="es-MX"/>
            </w:rPr>
            <w:t>H. Congreso del Estado de Baja California</w:t>
          </w:r>
        </w:p>
        <w:p w:rsidR="00381236" w:rsidRPr="001E5C96" w:rsidRDefault="00381236" w:rsidP="006F1F5A">
          <w:pPr>
            <w:pStyle w:val="Encabezado"/>
            <w:tabs>
              <w:tab w:val="left" w:pos="3660"/>
            </w:tabs>
            <w:rPr>
              <w:b/>
              <w:i/>
              <w:noProof/>
              <w:sz w:val="16"/>
              <w:szCs w:val="16"/>
              <w:lang w:eastAsia="es-MX"/>
            </w:rPr>
          </w:pPr>
          <w:r w:rsidRPr="001E5C96">
            <w:rPr>
              <w:b/>
              <w:i/>
              <w:noProof/>
              <w:sz w:val="16"/>
              <w:szCs w:val="16"/>
              <w:lang w:eastAsia="es-MX"/>
            </w:rPr>
            <w:t>Secretaría de Servicios Parlamentarios</w:t>
          </w:r>
          <w:r w:rsidRPr="001E5C96">
            <w:rPr>
              <w:b/>
              <w:i/>
              <w:noProof/>
              <w:sz w:val="16"/>
              <w:szCs w:val="16"/>
              <w:lang w:eastAsia="es-MX"/>
            </w:rPr>
            <w:tab/>
          </w:r>
        </w:p>
        <w:p w:rsidR="00381236" w:rsidRPr="00420A56" w:rsidRDefault="00381236" w:rsidP="006F1F5A">
          <w:pPr>
            <w:pStyle w:val="Encabezado"/>
            <w:ind w:left="-70"/>
            <w:rPr>
              <w:rFonts w:ascii="Tahoma" w:hAnsi="Tahoma" w:cs="Tahoma"/>
              <w:b/>
              <w:i/>
              <w:noProof/>
              <w:sz w:val="12"/>
              <w:szCs w:val="12"/>
              <w:lang w:eastAsia="es-MX"/>
            </w:rPr>
          </w:pPr>
          <w:r w:rsidRPr="001E5C96">
            <w:rPr>
              <w:b/>
              <w:i/>
              <w:noProof/>
              <w:sz w:val="16"/>
              <w:szCs w:val="16"/>
              <w:lang w:eastAsia="es-MX"/>
            </w:rPr>
            <w:t xml:space="preserve">  Coordinación de Editorial y Registro Parlamentario</w:t>
          </w:r>
        </w:p>
        <w:p w:rsidR="00381236" w:rsidRPr="00A01E0A" w:rsidRDefault="00381236" w:rsidP="006F1F5A">
          <w:pPr>
            <w:pStyle w:val="Encabezado"/>
            <w:ind w:left="-70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5102" w:type="dxa"/>
        </w:tcPr>
        <w:p w:rsidR="00381236" w:rsidRPr="00A01E0A" w:rsidRDefault="00381236" w:rsidP="006F1F5A">
          <w:pPr>
            <w:pStyle w:val="Encabezado"/>
            <w:ind w:left="-70"/>
            <w:jc w:val="right"/>
            <w:rPr>
              <w:rFonts w:eastAsia="MS Mincho"/>
              <w:bCs/>
              <w:sz w:val="12"/>
              <w:szCs w:val="12"/>
            </w:rPr>
          </w:pPr>
        </w:p>
        <w:p w:rsidR="00381236" w:rsidRDefault="00381236" w:rsidP="006F1F5A">
          <w:pPr>
            <w:pStyle w:val="Encabezado"/>
            <w:ind w:left="-70"/>
            <w:jc w:val="right"/>
            <w:rPr>
              <w:i/>
              <w:sz w:val="17"/>
              <w:szCs w:val="17"/>
            </w:rPr>
          </w:pPr>
        </w:p>
        <w:p w:rsidR="00381236" w:rsidRDefault="00381236" w:rsidP="006F1F5A">
          <w:pPr>
            <w:pStyle w:val="Encabezado"/>
            <w:ind w:left="-70"/>
            <w:jc w:val="right"/>
            <w:rPr>
              <w:i/>
              <w:sz w:val="16"/>
              <w:szCs w:val="16"/>
            </w:rPr>
          </w:pPr>
        </w:p>
        <w:p w:rsidR="00381236" w:rsidRPr="00A01E0A" w:rsidRDefault="00381236" w:rsidP="00381236">
          <w:pPr>
            <w:pStyle w:val="Encabezado"/>
            <w:ind w:left="-70"/>
            <w:jc w:val="right"/>
            <w:rPr>
              <w:i/>
              <w:iCs/>
              <w:color w:val="181818"/>
              <w:sz w:val="12"/>
              <w:szCs w:val="12"/>
            </w:rPr>
          </w:pPr>
        </w:p>
      </w:tc>
    </w:tr>
  </w:tbl>
  <w:p w:rsidR="00381236" w:rsidRPr="004E752E" w:rsidRDefault="00381236" w:rsidP="00381236">
    <w:pPr>
      <w:pStyle w:val="Encabezado"/>
      <w:pBdr>
        <w:bottom w:val="thickThinSmallGap" w:sz="24" w:space="1" w:color="622423"/>
      </w:pBdr>
      <w:rPr>
        <w:i/>
        <w:sz w:val="17"/>
        <w:szCs w:val="17"/>
      </w:rPr>
    </w:pPr>
    <w:r w:rsidRPr="004E752E">
      <w:rPr>
        <w:rFonts w:ascii="Cambria" w:hAnsi="Cambria"/>
        <w:i/>
        <w:sz w:val="12"/>
        <w:szCs w:val="12"/>
      </w:rPr>
      <w:t xml:space="preserve">         </w:t>
    </w:r>
    <w:r>
      <w:rPr>
        <w:rFonts w:ascii="Cambria" w:hAnsi="Cambria"/>
        <w:i/>
        <w:sz w:val="12"/>
        <w:szCs w:val="12"/>
      </w:rPr>
      <w:t xml:space="preserve">                             </w:t>
    </w:r>
    <w:r w:rsidRPr="004E752E">
      <w:rPr>
        <w:rFonts w:ascii="Cambria" w:hAnsi="Cambria"/>
        <w:i/>
        <w:sz w:val="12"/>
        <w:szCs w:val="12"/>
      </w:rPr>
      <w:t xml:space="preserve"> </w:t>
    </w:r>
    <w:r>
      <w:rPr>
        <w:rFonts w:ascii="Cambria" w:hAnsi="Cambria"/>
        <w:i/>
        <w:sz w:val="12"/>
        <w:szCs w:val="12"/>
      </w:rPr>
      <w:tab/>
      <w:t xml:space="preserve">   </w:t>
    </w:r>
    <w:r w:rsidRPr="004E752E">
      <w:rPr>
        <w:rFonts w:ascii="Cambria" w:hAnsi="Cambria"/>
        <w:i/>
        <w:sz w:val="12"/>
        <w:szCs w:val="12"/>
      </w:rPr>
      <w:t xml:space="preserve"> </w:t>
    </w:r>
  </w:p>
  <w:p w:rsidR="00381236" w:rsidRPr="00A01E0A" w:rsidRDefault="00381236" w:rsidP="00381236">
    <w:pPr>
      <w:pStyle w:val="Encabezado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236"/>
    <w:rsid w:val="00381236"/>
    <w:rsid w:val="00530B7A"/>
    <w:rsid w:val="005A1CC3"/>
    <w:rsid w:val="005E1E4D"/>
    <w:rsid w:val="006F1F5A"/>
    <w:rsid w:val="009578B0"/>
    <w:rsid w:val="009C18BC"/>
    <w:rsid w:val="00CD3988"/>
    <w:rsid w:val="00F2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6"/>
    <w:rPr>
      <w:rFonts w:ascii="Times New Roman" w:eastAsia="Times New Roman" w:hAnsi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1B86"/>
    <w:pPr>
      <w:keepNext/>
      <w:spacing w:before="240" w:after="60"/>
      <w:outlineLvl w:val="2"/>
    </w:pPr>
    <w:rPr>
      <w:rFonts w:ascii="Arial" w:eastAsia="Batang" w:hAnsi="Arial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s">
    <w:name w:val="negritas"/>
    <w:rsid w:val="00381236"/>
    <w:rPr>
      <w:b/>
      <w:bCs/>
    </w:rPr>
  </w:style>
  <w:style w:type="paragraph" w:styleId="NormalWeb">
    <w:name w:val="Normal (Web)"/>
    <w:basedOn w:val="Normal"/>
    <w:uiPriority w:val="99"/>
    <w:rsid w:val="00381236"/>
    <w:pPr>
      <w:spacing w:before="100" w:beforeAutospacing="1" w:after="100" w:afterAutospacing="1"/>
    </w:pPr>
    <w:rPr>
      <w:rFonts w:eastAsia="Batang"/>
      <w:color w:val="000000"/>
      <w:lang w:val="es-ES" w:eastAsia="es-ES"/>
    </w:rPr>
  </w:style>
  <w:style w:type="character" w:customStyle="1" w:styleId="apple-converted-space">
    <w:name w:val="apple-converted-space"/>
    <w:rsid w:val="00381236"/>
  </w:style>
  <w:style w:type="paragraph" w:customStyle="1" w:styleId="sangria">
    <w:name w:val="sangria"/>
    <w:basedOn w:val="Normal"/>
    <w:rsid w:val="00381236"/>
    <w:pPr>
      <w:spacing w:before="100" w:beforeAutospacing="1" w:after="100" w:afterAutospacing="1"/>
    </w:pPr>
    <w:rPr>
      <w:lang w:val="es-ES" w:eastAsia="es-ES"/>
    </w:rPr>
  </w:style>
  <w:style w:type="paragraph" w:customStyle="1" w:styleId="centrar">
    <w:name w:val="centrar"/>
    <w:basedOn w:val="Normal"/>
    <w:rsid w:val="00381236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nhideWhenUsed/>
    <w:rsid w:val="003812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38123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812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81236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1236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rsid w:val="0038123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81236"/>
    <w:rPr>
      <w:rFonts w:eastAsia="MS Mincho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381236"/>
    <w:rPr>
      <w:rFonts w:ascii="Calibri" w:eastAsia="MS Mincho" w:hAnsi="Calibri" w:cs="Times New Roman"/>
      <w:lang w:val="en-US"/>
    </w:rPr>
  </w:style>
  <w:style w:type="character" w:customStyle="1" w:styleId="Ttulo3Car">
    <w:name w:val="Título 3 Car"/>
    <w:link w:val="Ttulo3"/>
    <w:uiPriority w:val="9"/>
    <w:rsid w:val="00F21B86"/>
    <w:rPr>
      <w:rFonts w:ascii="Arial" w:eastAsia="Batang" w:hAnsi="Arial" w:cs="Times New Roman"/>
      <w:b/>
      <w:bCs/>
      <w:sz w:val="26"/>
      <w:szCs w:val="26"/>
      <w:lang w:val="en-US"/>
    </w:rPr>
  </w:style>
  <w:style w:type="paragraph" w:customStyle="1" w:styleId="leyes">
    <w:name w:val="leyes"/>
    <w:basedOn w:val="Normal"/>
    <w:uiPriority w:val="99"/>
    <w:rsid w:val="00F21B86"/>
    <w:pPr>
      <w:spacing w:before="240" w:after="240"/>
      <w:ind w:firstLine="720"/>
      <w:jc w:val="both"/>
    </w:pPr>
    <w:rPr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2358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Cardoza Rojero</dc:creator>
  <cp:lastModifiedBy>margarita.uribe</cp:lastModifiedBy>
  <cp:revision>2</cp:revision>
  <dcterms:created xsi:type="dcterms:W3CDTF">2018-03-08T18:07:00Z</dcterms:created>
  <dcterms:modified xsi:type="dcterms:W3CDTF">2018-03-08T18:07:00Z</dcterms:modified>
</cp:coreProperties>
</file>