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.xml" ContentType="application/vnd.openxmlformats-officedocument.themeOverride+xml"/>
  <Override PartName="/word/charts/chart14.xml" ContentType="application/vnd.openxmlformats-officedocument.drawingml.chart+xml"/>
  <Override PartName="/word/theme/themeOverride2.xml" ContentType="application/vnd.openxmlformats-officedocument.themeOverrid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86" w:rsidRDefault="00822F86">
      <w:bookmarkStart w:id="0" w:name="_GoBack"/>
      <w:bookmarkEnd w:id="0"/>
    </w:p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 xml:space="preserve"> TRIMESTRAL</w:t>
      </w:r>
    </w:p>
    <w:p w:rsidR="00413BDB" w:rsidRDefault="004E1D6F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MEXICALI</w:t>
      </w:r>
    </w:p>
    <w:p w:rsidR="00F34858" w:rsidRDefault="00F34858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521DD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CUARTO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4B44B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02152">
        <w:rPr>
          <w:rFonts w:ascii="Arial" w:hAnsi="Arial" w:cs="Arial"/>
          <w:b/>
          <w:sz w:val="24"/>
          <w:szCs w:val="24"/>
          <w:lang w:val="es-ES_tradnl"/>
        </w:rPr>
        <w:t>DE 2022</w:t>
      </w:r>
    </w:p>
    <w:p w:rsidR="000C5AE3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521DD8">
        <w:rPr>
          <w:rFonts w:ascii="Arial" w:hAnsi="Arial" w:cs="Arial"/>
          <w:sz w:val="24"/>
          <w:szCs w:val="24"/>
          <w:lang w:val="es-ES_tradnl"/>
        </w:rPr>
        <w:t>los meses de octubre</w:t>
      </w:r>
      <w:r w:rsidR="004D0580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521DD8">
        <w:rPr>
          <w:rFonts w:ascii="Arial" w:hAnsi="Arial" w:cs="Arial"/>
          <w:sz w:val="24"/>
          <w:szCs w:val="24"/>
          <w:lang w:val="es-ES_tradnl"/>
        </w:rPr>
        <w:t xml:space="preserve"> diciembre</w:t>
      </w:r>
      <w:r w:rsidR="00E509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02152">
        <w:rPr>
          <w:rFonts w:ascii="Arial" w:hAnsi="Arial" w:cs="Arial"/>
          <w:sz w:val="24"/>
          <w:szCs w:val="24"/>
          <w:lang w:val="es-ES_tradnl"/>
        </w:rPr>
        <w:t>del año 2022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4D0580">
        <w:rPr>
          <w:rFonts w:ascii="Arial" w:hAnsi="Arial" w:cs="Arial"/>
          <w:sz w:val="24"/>
          <w:szCs w:val="24"/>
          <w:lang w:val="es-ES_tradnl"/>
        </w:rPr>
        <w:t>6</w:t>
      </w:r>
      <w:r w:rsidR="00521DD8">
        <w:rPr>
          <w:rFonts w:ascii="Arial" w:hAnsi="Arial" w:cs="Arial"/>
          <w:sz w:val="24"/>
          <w:szCs w:val="24"/>
          <w:lang w:val="es-ES_tradnl"/>
        </w:rPr>
        <w:t>09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1401"/>
        <w:gridCol w:w="1424"/>
        <w:gridCol w:w="880"/>
        <w:gridCol w:w="1628"/>
        <w:gridCol w:w="1324"/>
        <w:gridCol w:w="1903"/>
        <w:gridCol w:w="1016"/>
      </w:tblGrid>
      <w:tr w:rsidR="00521DD8" w:rsidRPr="000633FF" w:rsidTr="00521DD8">
        <w:trPr>
          <w:trHeight w:val="386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DD8" w:rsidRPr="000B5D15" w:rsidRDefault="00521DD8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521DD8" w:rsidRPr="000B5D15" w:rsidRDefault="00521DD8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DD8" w:rsidRPr="000633FF" w:rsidRDefault="00521DD8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1DD8" w:rsidRPr="000633FF" w:rsidRDefault="00521DD8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DD8" w:rsidRPr="000633FF" w:rsidRDefault="00521DD8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1DD8" w:rsidRPr="000633FF" w:rsidRDefault="00521DD8" w:rsidP="00521D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DD8" w:rsidRPr="000633FF" w:rsidRDefault="00521DD8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DD8" w:rsidRPr="000633FF" w:rsidRDefault="00521DD8" w:rsidP="00C3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521DD8" w:rsidRPr="000633FF" w:rsidTr="00521DD8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DD8" w:rsidRDefault="00521DD8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  <w:p w:rsidR="00521DD8" w:rsidRPr="000B5D15" w:rsidRDefault="00521DD8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DD8" w:rsidRPr="000633FF" w:rsidRDefault="00521DD8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1DD8" w:rsidRDefault="00521DD8" w:rsidP="00C1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228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DD8" w:rsidRPr="000633FF" w:rsidRDefault="00521DD8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157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DD8" w:rsidRDefault="00521DD8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DD8" w:rsidRPr="000633FF" w:rsidRDefault="00521DD8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DD8" w:rsidRPr="000633FF" w:rsidRDefault="00521DD8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609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9244" cy="3548417"/>
            <wp:effectExtent l="38100" t="0" r="35560" b="1397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521DD8">
        <w:rPr>
          <w:rFonts w:ascii="Arial" w:hAnsi="Arial" w:cs="Arial"/>
          <w:b/>
          <w:sz w:val="24"/>
          <w:szCs w:val="24"/>
          <w:lang w:val="es-ES_tradnl"/>
        </w:rPr>
        <w:t>569</w:t>
      </w:r>
      <w:r w:rsidR="00066EC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521DD8">
        <w:rPr>
          <w:rFonts w:ascii="Arial" w:hAnsi="Arial" w:cs="Arial"/>
          <w:b/>
          <w:sz w:val="24"/>
          <w:szCs w:val="24"/>
          <w:lang w:val="es-ES_tradnl"/>
        </w:rPr>
        <w:t>182</w:t>
      </w:r>
      <w:r w:rsidR="00B330C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521DD8">
        <w:rPr>
          <w:rFonts w:ascii="Arial" w:hAnsi="Arial" w:cs="Arial"/>
          <w:b/>
          <w:sz w:val="24"/>
          <w:szCs w:val="24"/>
          <w:lang w:val="es-ES_tradnl"/>
        </w:rPr>
        <w:t>228</w:t>
      </w:r>
      <w:r w:rsidR="005D5E0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21DD8">
        <w:rPr>
          <w:rFonts w:ascii="Arial" w:hAnsi="Arial" w:cs="Arial"/>
          <w:sz w:val="24"/>
          <w:szCs w:val="24"/>
          <w:lang w:val="es-ES_tradnl"/>
        </w:rPr>
        <w:t>en materia civil,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21DD8">
        <w:rPr>
          <w:rFonts w:ascii="Arial" w:hAnsi="Arial" w:cs="Arial"/>
          <w:b/>
          <w:sz w:val="24"/>
          <w:szCs w:val="24"/>
          <w:lang w:val="es-ES_tradnl"/>
        </w:rPr>
        <w:t>157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21DD8">
        <w:rPr>
          <w:rFonts w:ascii="Arial" w:hAnsi="Arial" w:cs="Arial"/>
          <w:sz w:val="24"/>
          <w:szCs w:val="24"/>
          <w:lang w:val="es-ES_tradnl"/>
        </w:rPr>
        <w:t xml:space="preserve">en materia mercantil y </w:t>
      </w:r>
      <w:r w:rsidR="00521DD8" w:rsidRPr="00521DD8">
        <w:rPr>
          <w:rFonts w:ascii="Arial" w:hAnsi="Arial" w:cs="Arial"/>
          <w:b/>
          <w:sz w:val="24"/>
          <w:szCs w:val="24"/>
          <w:lang w:val="es-ES_tradnl"/>
        </w:rPr>
        <w:t>2</w:t>
      </w:r>
      <w:r w:rsidR="00521DD8">
        <w:rPr>
          <w:rFonts w:ascii="Arial" w:hAnsi="Arial" w:cs="Arial"/>
          <w:sz w:val="24"/>
          <w:szCs w:val="24"/>
          <w:lang w:val="es-ES_tradnl"/>
        </w:rPr>
        <w:t xml:space="preserve"> en materia laboral.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521DD8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182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521DD8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228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521DD8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157</w:t>
            </w:r>
          </w:p>
        </w:tc>
      </w:tr>
      <w:tr w:rsidR="00521DD8" w:rsidTr="00C33106">
        <w:tc>
          <w:tcPr>
            <w:tcW w:w="2979" w:type="dxa"/>
          </w:tcPr>
          <w:p w:rsidR="00521DD8" w:rsidRDefault="00521DD8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83" w:type="dxa"/>
          </w:tcPr>
          <w:p w:rsidR="00521DD8" w:rsidRDefault="00521DD8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521DD8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569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21DD8">
        <w:rPr>
          <w:rFonts w:ascii="Arial" w:hAnsi="Arial" w:cs="Arial"/>
          <w:b/>
          <w:sz w:val="24"/>
          <w:szCs w:val="24"/>
          <w:lang w:val="es-ES_tradnl"/>
        </w:rPr>
        <w:t>182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521DD8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48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521DD8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62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521DD8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70</w:t>
            </w:r>
          </w:p>
        </w:tc>
      </w:tr>
      <w:tr w:rsidR="001611F6" w:rsidTr="00FA2919">
        <w:tc>
          <w:tcPr>
            <w:tcW w:w="6662" w:type="dxa"/>
          </w:tcPr>
          <w:p w:rsidR="001611F6" w:rsidRDefault="001611F6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familiar</w:t>
            </w:r>
          </w:p>
        </w:tc>
        <w:tc>
          <w:tcPr>
            <w:tcW w:w="2410" w:type="dxa"/>
          </w:tcPr>
          <w:p w:rsidR="001611F6" w:rsidRDefault="00521DD8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EF56D0" w:rsidTr="00FA2919">
        <w:tc>
          <w:tcPr>
            <w:tcW w:w="6662" w:type="dxa"/>
          </w:tcPr>
          <w:p w:rsidR="00EF56D0" w:rsidRDefault="00EF56D0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Liquidación conyugal</w:t>
            </w:r>
          </w:p>
        </w:tc>
        <w:tc>
          <w:tcPr>
            <w:tcW w:w="2410" w:type="dxa"/>
          </w:tcPr>
          <w:p w:rsidR="00EF56D0" w:rsidRDefault="00521DD8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2429CB" w:rsidRPr="00066EC6" w:rsidTr="00FA2919">
        <w:tc>
          <w:tcPr>
            <w:tcW w:w="6662" w:type="dxa"/>
          </w:tcPr>
          <w:p w:rsidR="002429CB" w:rsidRDefault="002429CB" w:rsidP="00521DD8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:rsidR="002429CB" w:rsidRDefault="00521DD8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521DD8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182</w:t>
            </w:r>
          </w:p>
        </w:tc>
      </w:tr>
    </w:tbl>
    <w:p w:rsidR="002E766A" w:rsidRDefault="00CC7310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181060" cy="3957851"/>
            <wp:effectExtent l="19050" t="0" r="19590" b="4549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521DD8">
        <w:rPr>
          <w:rFonts w:ascii="Arial" w:hAnsi="Arial" w:cs="Arial"/>
          <w:b/>
          <w:sz w:val="24"/>
          <w:szCs w:val="24"/>
          <w:lang w:val="es-ES_tradnl"/>
        </w:rPr>
        <w:t>182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21DD8">
        <w:rPr>
          <w:rFonts w:ascii="Arial" w:hAnsi="Arial" w:cs="Arial"/>
          <w:b/>
          <w:sz w:val="24"/>
          <w:szCs w:val="24"/>
          <w:lang w:val="es-ES_tradnl"/>
        </w:rPr>
        <w:t>176</w:t>
      </w:r>
      <w:r w:rsidR="007308A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521DD8">
        <w:rPr>
          <w:rFonts w:ascii="Arial" w:hAnsi="Arial" w:cs="Arial"/>
          <w:b/>
          <w:sz w:val="24"/>
          <w:szCs w:val="24"/>
          <w:lang w:val="es-ES_tradnl"/>
        </w:rPr>
        <w:t>6)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521DD8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176</w:t>
            </w:r>
          </w:p>
        </w:tc>
      </w:tr>
      <w:tr w:rsidR="00B96D79" w:rsidTr="00086A84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center"/>
          </w:tcPr>
          <w:p w:rsidR="00B96D79" w:rsidRPr="00A26775" w:rsidRDefault="00521DD8" w:rsidP="00086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521DD8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182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7879" w:rsidRDefault="00D93C1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.25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kz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ARmNkzHgIAADwEAAAOAAAAAAAAAAAAAAAAAC4CAABkcnMvZTJvRG9jLnhtbFBLAQItABQA&#10;BgAIAAAAIQCoJvea2QAAAAQBAAAPAAAAAAAAAAAAAAAAAHgEAABkcnMvZG93bnJldi54bWxQSwUG&#10;AAAAAAQABADzAAAAfgUAAAAA&#10;"/>
            </w:pict>
          </mc:Fallback>
        </mc:AlternateConten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21DD8">
        <w:rPr>
          <w:rFonts w:ascii="Arial" w:hAnsi="Arial" w:cs="Arial"/>
          <w:b/>
          <w:sz w:val="24"/>
          <w:szCs w:val="24"/>
          <w:lang w:val="es-ES_tradnl"/>
        </w:rPr>
        <w:t>176</w:t>
      </w:r>
      <w:r w:rsidR="00944FF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21DD8">
        <w:rPr>
          <w:rFonts w:ascii="Arial" w:hAnsi="Arial" w:cs="Arial"/>
          <w:sz w:val="24"/>
          <w:szCs w:val="24"/>
          <w:lang w:val="es-ES_tradnl"/>
        </w:rPr>
        <w:t>tramitadas en el cuarto</w:t>
      </w:r>
      <w:r w:rsidR="004D0580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4788"/>
        <w:gridCol w:w="1132"/>
      </w:tblGrid>
      <w:tr w:rsidR="00C33106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132" w:type="dxa"/>
            <w:vAlign w:val="bottom"/>
          </w:tcPr>
          <w:p w:rsidR="00C33106" w:rsidRPr="00A26775" w:rsidRDefault="00521DD8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119</w:t>
            </w:r>
          </w:p>
        </w:tc>
      </w:tr>
      <w:tr w:rsidR="009E45C8" w:rsidTr="00666144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132" w:type="dxa"/>
            <w:vAlign w:val="bottom"/>
          </w:tcPr>
          <w:p w:rsidR="009E45C8" w:rsidRPr="00A26775" w:rsidRDefault="00521DD8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86</w:t>
            </w:r>
          </w:p>
        </w:tc>
      </w:tr>
      <w:tr w:rsidR="00C33106" w:rsidRPr="008D268B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132" w:type="dxa"/>
            <w:vAlign w:val="bottom"/>
          </w:tcPr>
          <w:p w:rsidR="00C33106" w:rsidRPr="008D268B" w:rsidRDefault="004D0580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521DD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05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E2273C">
        <w:tc>
          <w:tcPr>
            <w:tcW w:w="4678" w:type="dxa"/>
            <w:vAlign w:val="center"/>
          </w:tcPr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8A6838" w:rsidP="003C7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36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0" t="0" r="571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6B56" w:rsidRDefault="00D93C1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-1270</wp:posOffset>
                </wp:positionV>
                <wp:extent cx="5495925" cy="0"/>
                <wp:effectExtent l="952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.25pt;margin-top:-.1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G0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cZ4v58v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AvyLG0HAIAADsEAAAOAAAAAAAAAAAAAAAAAC4CAABkcnMvZTJvRG9jLnhtbFBLAQItABQA&#10;BgAIAAAAIQAg/SgS2wAAAAYBAAAPAAAAAAAAAAAAAAAAAHYEAABkcnMvZG93bnJldi54bWxQSwUG&#10;AAAAAAQABADzAAAAfgUAAAAA&#10;"/>
            </w:pict>
          </mc:Fallback>
        </mc:AlternateContent>
      </w: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lastRenderedPageBreak/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4C3D6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CC290D">
        <w:rPr>
          <w:rFonts w:ascii="Arial" w:hAnsi="Arial" w:cs="Arial"/>
          <w:b/>
          <w:sz w:val="24"/>
          <w:szCs w:val="24"/>
          <w:lang w:val="es-ES_tradnl"/>
        </w:rPr>
        <w:t>228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85"/>
        <w:gridCol w:w="1357"/>
      </w:tblGrid>
      <w:tr w:rsidR="00A11F67" w:rsidRPr="00DF5F8E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CC290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A11F67" w:rsidRPr="00DF5F8E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CC290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114</w:t>
            </w:r>
          </w:p>
        </w:tc>
      </w:tr>
      <w:tr w:rsidR="00A11F67" w:rsidRPr="00DF5F8E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CC290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44</w:t>
            </w:r>
          </w:p>
        </w:tc>
      </w:tr>
      <w:tr w:rsidR="005D19F4" w:rsidRPr="00DF5F8E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Pr="00DF5F8E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5D19F4" w:rsidRDefault="00CC290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5D19F4" w:rsidRPr="00DF5F8E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5D19F4" w:rsidRDefault="00CC290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5D19F4" w:rsidRPr="00DF5F8E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5D19F4" w:rsidRDefault="00CC290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11F67" w:rsidRPr="00DF5F8E" w:rsidTr="00944FF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CC290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066EC6" w:rsidRPr="00DF5F8E" w:rsidTr="00944FF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066EC6" w:rsidRPr="00DF5F8E" w:rsidRDefault="00066EC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Hipotecaria</w:t>
            </w:r>
          </w:p>
        </w:tc>
        <w:tc>
          <w:tcPr>
            <w:tcW w:w="1357" w:type="dxa"/>
            <w:shd w:val="clear" w:color="auto" w:fill="FFFFFF" w:themeFill="background1"/>
          </w:tcPr>
          <w:p w:rsidR="00066EC6" w:rsidRDefault="00CC290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C3CBD" w:rsidRPr="00DF5F8E" w:rsidTr="00944FF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C3CBD" w:rsidRDefault="00EC40C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</w:tcPr>
          <w:p w:rsidR="00AC3CBD" w:rsidRDefault="00CC290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AE5B03" w:rsidRPr="00DF5F8E" w:rsidTr="00944FF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E5B03" w:rsidRPr="00DF5F8E" w:rsidRDefault="00AE5B0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</w:t>
            </w:r>
          </w:p>
        </w:tc>
        <w:tc>
          <w:tcPr>
            <w:tcW w:w="1357" w:type="dxa"/>
            <w:shd w:val="clear" w:color="auto" w:fill="FFFFFF" w:themeFill="background1"/>
          </w:tcPr>
          <w:p w:rsidR="00AE5B03" w:rsidRPr="00A26775" w:rsidRDefault="00CC290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A11F67" w:rsidRPr="00DF5F8E" w:rsidTr="00944FFF">
        <w:trPr>
          <w:trHeight w:val="342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CC290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23B4A" w:rsidRPr="00DF5F8E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23B4A" w:rsidRPr="00DF5F8E" w:rsidRDefault="001611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B23B4A" w:rsidRDefault="00CC290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F465AC" w:rsidRPr="00DF5F8E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F465AC" w:rsidRDefault="00F465AC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Posesión </w:t>
            </w:r>
          </w:p>
        </w:tc>
        <w:tc>
          <w:tcPr>
            <w:tcW w:w="1357" w:type="dxa"/>
            <w:shd w:val="clear" w:color="auto" w:fill="FFFFFF" w:themeFill="background1"/>
          </w:tcPr>
          <w:p w:rsidR="00F465AC" w:rsidRDefault="00CC290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7E5EDF" w:rsidRPr="00FE2D77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7E5EDF" w:rsidRDefault="007E5EDF" w:rsidP="00D00541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  <w:r w:rsidR="00944FFF" w:rsidRPr="00944FFF">
              <w:rPr>
                <w:lang w:val="es-MX"/>
              </w:rPr>
              <w:t xml:space="preserve"> </w:t>
            </w:r>
            <w:r w:rsidR="00CC290D">
              <w:rPr>
                <w:sz w:val="24"/>
                <w:szCs w:val="24"/>
                <w:lang w:val="es-ES_tradnl"/>
              </w:rPr>
              <w:t>:</w:t>
            </w:r>
            <w:proofErr w:type="gramEnd"/>
            <w:r w:rsidR="008A6838">
              <w:rPr>
                <w:sz w:val="24"/>
                <w:szCs w:val="24"/>
                <w:lang w:val="es-ES_tradnl"/>
              </w:rPr>
              <w:t xml:space="preserve"> Q</w:t>
            </w:r>
            <w:r w:rsidR="00515C75">
              <w:rPr>
                <w:sz w:val="24"/>
                <w:szCs w:val="24"/>
                <w:lang w:val="es-ES_tradnl"/>
              </w:rPr>
              <w:t xml:space="preserve">uiere recuperar pertenencias que </w:t>
            </w:r>
            <w:r w:rsidR="00D00541">
              <w:rPr>
                <w:sz w:val="24"/>
                <w:szCs w:val="24"/>
                <w:lang w:val="es-ES_tradnl"/>
              </w:rPr>
              <w:t>tiene</w:t>
            </w:r>
            <w:r w:rsidR="00515C75">
              <w:rPr>
                <w:sz w:val="24"/>
                <w:szCs w:val="24"/>
                <w:lang w:val="es-ES_tradnl"/>
              </w:rPr>
              <w:t xml:space="preserve"> su ex pareja,  el solicitante quiere que </w:t>
            </w:r>
            <w:proofErr w:type="spellStart"/>
            <w:r w:rsidR="00515C75">
              <w:rPr>
                <w:sz w:val="24"/>
                <w:szCs w:val="24"/>
                <w:lang w:val="es-ES_tradnl"/>
              </w:rPr>
              <w:t>Telnor</w:t>
            </w:r>
            <w:proofErr w:type="spellEnd"/>
            <w:r w:rsidR="00515C75">
              <w:rPr>
                <w:sz w:val="24"/>
                <w:szCs w:val="24"/>
                <w:lang w:val="es-ES_tradnl"/>
              </w:rPr>
              <w:t xml:space="preserve"> deje de </w:t>
            </w:r>
            <w:r w:rsidR="008A6838">
              <w:rPr>
                <w:sz w:val="24"/>
                <w:szCs w:val="24"/>
                <w:lang w:val="es-ES_tradnl"/>
              </w:rPr>
              <w:t>sostener un cable de su tejaban, dos asuntos en los cuales se solicita el pago de daños a los dueños de dos perros que mataron otros animales, dos asuntos relacionados con  daño moral.</w:t>
            </w:r>
          </w:p>
        </w:tc>
        <w:tc>
          <w:tcPr>
            <w:tcW w:w="1357" w:type="dxa"/>
            <w:shd w:val="clear" w:color="auto" w:fill="FFFFFF" w:themeFill="background1"/>
          </w:tcPr>
          <w:p w:rsidR="007E5EDF" w:rsidRDefault="00CC290D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11F67" w:rsidRPr="00DF5F8E" w:rsidTr="00944FFF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DF5F8E" w:rsidRDefault="00CC290D" w:rsidP="004C3D69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228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0" t="0" r="9525" b="1905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    </w:t>
      </w:r>
    </w:p>
    <w:p w:rsidR="0046267A" w:rsidRDefault="0046267A" w:rsidP="000C5AE3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A6838">
        <w:rPr>
          <w:rFonts w:ascii="Arial" w:hAnsi="Arial" w:cs="Arial"/>
          <w:b/>
          <w:sz w:val="24"/>
          <w:szCs w:val="24"/>
          <w:lang w:val="es-ES_tradnl"/>
        </w:rPr>
        <w:t>228</w:t>
      </w:r>
      <w:r w:rsidR="00A80DC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1251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A6838">
        <w:rPr>
          <w:rFonts w:ascii="Arial" w:hAnsi="Arial" w:cs="Arial"/>
          <w:b/>
          <w:sz w:val="24"/>
          <w:szCs w:val="24"/>
          <w:lang w:val="es-ES_tradnl"/>
        </w:rPr>
        <w:t>221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8A6838">
        <w:rPr>
          <w:rFonts w:ascii="Arial" w:hAnsi="Arial" w:cs="Arial"/>
          <w:b/>
          <w:sz w:val="24"/>
          <w:szCs w:val="24"/>
          <w:lang w:val="es-ES_tradnl"/>
        </w:rPr>
        <w:t>7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8A6838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221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8A6838" w:rsidP="000E7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8A6838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228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8A6838">
        <w:rPr>
          <w:rFonts w:ascii="Arial" w:hAnsi="Arial" w:cs="Arial"/>
          <w:sz w:val="24"/>
          <w:szCs w:val="24"/>
          <w:lang w:val="es-ES_tradnl"/>
        </w:rPr>
        <w:t>221</w:t>
      </w:r>
      <w:r w:rsidR="00590AC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8A6838">
        <w:rPr>
          <w:rFonts w:ascii="Arial" w:hAnsi="Arial" w:cs="Arial"/>
          <w:sz w:val="24"/>
          <w:szCs w:val="24"/>
          <w:lang w:val="es-ES_tradnl"/>
        </w:rPr>
        <w:t>tramitadas en el cuarto</w:t>
      </w:r>
      <w:r w:rsidR="004D0580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8A6838" w:rsidP="00B34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100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8A6838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145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4D0580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8A683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45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8A6838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48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2E81" w:rsidRDefault="00CE2E81" w:rsidP="00E2273C">
      <w:pPr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</w:t>
      </w:r>
      <w:r w:rsidR="008A6838">
        <w:rPr>
          <w:rFonts w:ascii="Arial" w:hAnsi="Arial" w:cs="Arial"/>
          <w:sz w:val="24"/>
          <w:szCs w:val="24"/>
          <w:lang w:val="es-ES_tradnl"/>
        </w:rPr>
        <w:t xml:space="preserve"> 157</w:t>
      </w:r>
      <w:r>
        <w:rPr>
          <w:rFonts w:ascii="Arial" w:hAnsi="Arial" w:cs="Arial"/>
          <w:sz w:val="24"/>
          <w:szCs w:val="24"/>
          <w:lang w:val="es-ES_tradnl"/>
        </w:rPr>
        <w:t xml:space="preserve">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8A6838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157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8A6838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</w:t>
            </w:r>
            <w:r w:rsidR="00B575B6" w:rsidRPr="00B575B6">
              <w:rPr>
                <w:lang w:val="es-MX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8A6838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8A6838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157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7110E5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1EC0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247B" w:rsidRDefault="00EB247B" w:rsidP="00B575B6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A6838">
        <w:rPr>
          <w:rFonts w:ascii="Arial" w:hAnsi="Arial" w:cs="Arial"/>
          <w:b/>
          <w:sz w:val="24"/>
          <w:szCs w:val="24"/>
          <w:lang w:val="es-ES_tradnl"/>
        </w:rPr>
        <w:t>157</w:t>
      </w:r>
      <w:r w:rsidR="0098591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A6838">
        <w:rPr>
          <w:rFonts w:ascii="Arial" w:hAnsi="Arial" w:cs="Arial"/>
          <w:b/>
          <w:sz w:val="24"/>
          <w:szCs w:val="24"/>
          <w:lang w:val="es-ES_tradnl"/>
        </w:rPr>
        <w:t>157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8A6838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8A6838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D00541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8A6838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157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9C67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A6838">
        <w:rPr>
          <w:rFonts w:ascii="Arial" w:hAnsi="Arial" w:cs="Arial"/>
          <w:sz w:val="24"/>
          <w:szCs w:val="24"/>
          <w:lang w:val="es-ES_tradnl"/>
        </w:rPr>
        <w:t>157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A6838">
        <w:rPr>
          <w:rFonts w:ascii="Arial" w:hAnsi="Arial" w:cs="Arial"/>
          <w:sz w:val="24"/>
          <w:szCs w:val="24"/>
          <w:lang w:val="es-ES_tradnl"/>
        </w:rPr>
        <w:t>tramitadas en el cuarto</w:t>
      </w:r>
      <w:r w:rsidR="00E56D43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18"/>
      </w:tblGrid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18" w:type="dxa"/>
            <w:vAlign w:val="bottom"/>
          </w:tcPr>
          <w:p w:rsidR="00867AC4" w:rsidRPr="00BB0063" w:rsidRDefault="008A6838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74</w:t>
            </w:r>
          </w:p>
        </w:tc>
      </w:tr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867AC4" w:rsidRPr="00BB0063" w:rsidRDefault="008A6838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57</w:t>
            </w:r>
          </w:p>
        </w:tc>
      </w:tr>
      <w:tr w:rsidR="00867AC4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867AC4" w:rsidRPr="00841795" w:rsidRDefault="008A6838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131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8A6838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62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Pr="000C5AE3" w:rsidRDefault="00867AC4" w:rsidP="000C5AE3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267A" w:rsidRDefault="0046267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B0099" w:rsidRDefault="00EB0099" w:rsidP="00EB009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0099" w:rsidRDefault="00EB0099" w:rsidP="00EB009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0099" w:rsidRDefault="00EB0099" w:rsidP="00EB009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LABORAL</w:t>
      </w:r>
    </w:p>
    <w:p w:rsidR="00EB0099" w:rsidRDefault="00EB0099" w:rsidP="00EB009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0099" w:rsidRDefault="00EB0099" w:rsidP="00EB00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2 asuntos competencia del Centro,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laboral,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EB0099" w:rsidRDefault="00EB0099" w:rsidP="00EB009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B0099" w:rsidRPr="000633FF" w:rsidRDefault="00EB0099" w:rsidP="00EB009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EB0099" w:rsidRPr="00BA7074" w:rsidTr="003D5488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EB0099" w:rsidRDefault="00EB0099" w:rsidP="003D5488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asuntos:</w:t>
            </w:r>
            <w:r w:rsidRPr="00C74904">
              <w:rPr>
                <w:lang w:val="es-MX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EB0099" w:rsidRDefault="00EB0099" w:rsidP="003D54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  <w:tr w:rsidR="00EB0099" w:rsidRPr="00201D65" w:rsidTr="003D5488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EB0099" w:rsidRPr="00821D2F" w:rsidRDefault="00EB0099" w:rsidP="003D54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EB0099" w:rsidRPr="00201D65" w:rsidRDefault="00EB0099" w:rsidP="003D54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</w:tbl>
    <w:p w:rsidR="00EB0099" w:rsidRDefault="00EB0099" w:rsidP="00EB0099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D11EC0" w:rsidRDefault="00EB009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B0099" w:rsidRDefault="00EB009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B0099" w:rsidRDefault="00EB009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B0099" w:rsidRDefault="00EB009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B0099" w:rsidRDefault="00EB009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B0099" w:rsidRDefault="00EB009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B0099" w:rsidRDefault="00EB0099" w:rsidP="00EB009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ETAPA EN LA QUE SE ENCUENTRAN:</w:t>
      </w:r>
    </w:p>
    <w:p w:rsidR="00EB0099" w:rsidRDefault="00EB0099" w:rsidP="00EB0099">
      <w:pPr>
        <w:tabs>
          <w:tab w:val="left" w:pos="5175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EB0099" w:rsidRDefault="00EB0099" w:rsidP="00EB00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2 </w:t>
      </w:r>
      <w:r>
        <w:rPr>
          <w:rFonts w:ascii="Arial" w:hAnsi="Arial" w:cs="Arial"/>
          <w:sz w:val="24"/>
          <w:szCs w:val="24"/>
          <w:lang w:val="es-ES_tradnl"/>
        </w:rPr>
        <w:t>invitaciones relativas a la materia 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2 </w:t>
      </w:r>
      <w:r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EB0099" w:rsidRDefault="00EB0099" w:rsidP="00EB009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EB0099" w:rsidTr="003D5488">
        <w:trPr>
          <w:jc w:val="center"/>
        </w:trPr>
        <w:tc>
          <w:tcPr>
            <w:tcW w:w="4788" w:type="dxa"/>
          </w:tcPr>
          <w:p w:rsidR="00EB0099" w:rsidRDefault="00EB0099" w:rsidP="003D54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B0099" w:rsidRDefault="00EB0099" w:rsidP="003D54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conciliación</w:t>
            </w:r>
          </w:p>
        </w:tc>
        <w:tc>
          <w:tcPr>
            <w:tcW w:w="1274" w:type="dxa"/>
            <w:vAlign w:val="bottom"/>
          </w:tcPr>
          <w:p w:rsidR="00EB0099" w:rsidRPr="00BB0063" w:rsidRDefault="00EB0099" w:rsidP="003D5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EB0099" w:rsidTr="003D5488">
        <w:trPr>
          <w:jc w:val="center"/>
        </w:trPr>
        <w:tc>
          <w:tcPr>
            <w:tcW w:w="4788" w:type="dxa"/>
          </w:tcPr>
          <w:p w:rsidR="00EB0099" w:rsidRDefault="00EB0099" w:rsidP="003D54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B0099" w:rsidRDefault="00EB0099" w:rsidP="003D54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EB0099" w:rsidRPr="00BB0063" w:rsidRDefault="00EB0099" w:rsidP="003D5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EB0099" w:rsidTr="003D5488">
        <w:trPr>
          <w:jc w:val="center"/>
        </w:trPr>
        <w:tc>
          <w:tcPr>
            <w:tcW w:w="4788" w:type="dxa"/>
          </w:tcPr>
          <w:p w:rsidR="00EB0099" w:rsidRDefault="00EB0099" w:rsidP="003D54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EB0099" w:rsidRPr="0051065A" w:rsidRDefault="00EB0099" w:rsidP="003D54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EB0099" w:rsidRPr="00B96D79" w:rsidRDefault="00EB0099" w:rsidP="003D54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</w:tbl>
    <w:p w:rsidR="00EB0099" w:rsidRDefault="00EB0099" w:rsidP="00EB009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B0099" w:rsidRDefault="00EB0099" w:rsidP="00EB009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B0099" w:rsidRDefault="00EB0099" w:rsidP="00EB009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B0099" w:rsidRDefault="00EB0099" w:rsidP="00EB009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 wp14:anchorId="78108437" wp14:editId="2CAD2B97">
            <wp:extent cx="5486400" cy="3200400"/>
            <wp:effectExtent l="0" t="0" r="19050" b="1905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B0099" w:rsidRDefault="00EB0099" w:rsidP="00EB009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B0099" w:rsidRDefault="00EB0099" w:rsidP="00EB0099">
      <w:pPr>
        <w:tabs>
          <w:tab w:val="left" w:pos="3735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EB0099" w:rsidRDefault="00EB0099" w:rsidP="00EB009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De las 2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 y mediaciones tramitadas en el cuarto trimestre, el estado en que se encuentran es el siguiente:</w:t>
      </w:r>
    </w:p>
    <w:p w:rsidR="00EB0099" w:rsidRDefault="00EB0099" w:rsidP="00EB009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B0099" w:rsidRDefault="00EB0099" w:rsidP="00EB009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B0099" w:rsidRDefault="00EB0099" w:rsidP="00EB009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18"/>
      </w:tblGrid>
      <w:tr w:rsidR="00EB0099" w:rsidRPr="00841795" w:rsidTr="003D5488">
        <w:trPr>
          <w:jc w:val="center"/>
        </w:trPr>
        <w:tc>
          <w:tcPr>
            <w:tcW w:w="4788" w:type="dxa"/>
          </w:tcPr>
          <w:p w:rsidR="00EB0099" w:rsidRPr="00841795" w:rsidRDefault="00EB0099" w:rsidP="003D54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B0099" w:rsidRPr="00841795" w:rsidRDefault="00EB0099" w:rsidP="003D54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18" w:type="dxa"/>
            <w:vAlign w:val="bottom"/>
          </w:tcPr>
          <w:p w:rsidR="00EB0099" w:rsidRPr="00BB0063" w:rsidRDefault="00EB0099" w:rsidP="003D5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EB0099" w:rsidRPr="00841795" w:rsidTr="003D5488">
        <w:trPr>
          <w:jc w:val="center"/>
        </w:trPr>
        <w:tc>
          <w:tcPr>
            <w:tcW w:w="4788" w:type="dxa"/>
          </w:tcPr>
          <w:p w:rsidR="00EB0099" w:rsidRPr="00841795" w:rsidRDefault="00EB0099" w:rsidP="003D54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B0099" w:rsidRPr="00841795" w:rsidRDefault="00EB0099" w:rsidP="003D54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EB0099" w:rsidRPr="00BB0063" w:rsidRDefault="00EB0099" w:rsidP="003D5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EB0099" w:rsidTr="003D5488">
        <w:trPr>
          <w:jc w:val="center"/>
        </w:trPr>
        <w:tc>
          <w:tcPr>
            <w:tcW w:w="4788" w:type="dxa"/>
          </w:tcPr>
          <w:p w:rsidR="00EB0099" w:rsidRPr="00841795" w:rsidRDefault="00EB0099" w:rsidP="003D54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EB0099" w:rsidRPr="00841795" w:rsidRDefault="00EB0099" w:rsidP="003D54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EB0099" w:rsidRPr="00841795" w:rsidRDefault="00EB0099" w:rsidP="003D54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</w:tbl>
    <w:p w:rsidR="00EB0099" w:rsidRDefault="00EB0099" w:rsidP="00EB009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B0099" w:rsidTr="003D5488">
        <w:tc>
          <w:tcPr>
            <w:tcW w:w="4678" w:type="dxa"/>
            <w:vAlign w:val="center"/>
          </w:tcPr>
          <w:p w:rsidR="00EB0099" w:rsidRDefault="00EB0099" w:rsidP="003D54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B0099" w:rsidRDefault="00EB0099" w:rsidP="003D54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B0099" w:rsidRDefault="00EB0099" w:rsidP="003D5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</w:tbl>
    <w:p w:rsidR="00EB0099" w:rsidRDefault="00EB0099" w:rsidP="00EB009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0099" w:rsidRDefault="00EB0099" w:rsidP="00EB009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B0099" w:rsidRDefault="00EB0099" w:rsidP="00EB009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 wp14:anchorId="277720EF" wp14:editId="2037286C">
            <wp:extent cx="5486400" cy="3200400"/>
            <wp:effectExtent l="0" t="0" r="19050" b="1905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B0099" w:rsidRDefault="00EB009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B0099" w:rsidRDefault="00EB009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B0099" w:rsidRDefault="00EB009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B0099" w:rsidRDefault="00EB009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05813" w:rsidRPr="00282ED6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8A6838">
        <w:rPr>
          <w:rFonts w:ascii="Arial" w:hAnsi="Arial" w:cs="Arial"/>
          <w:sz w:val="24"/>
          <w:szCs w:val="24"/>
          <w:lang w:val="es-ES_tradnl"/>
        </w:rPr>
        <w:t>cuarto</w:t>
      </w:r>
      <w:r w:rsidR="00E56D43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8A6838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205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8A6838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384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8A6838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150</w:t>
            </w:r>
          </w:p>
        </w:tc>
      </w:tr>
      <w:tr w:rsidR="00AB5825" w:rsidTr="00BB0063">
        <w:tc>
          <w:tcPr>
            <w:tcW w:w="2101" w:type="dxa"/>
          </w:tcPr>
          <w:p w:rsidR="00AB5825" w:rsidRDefault="00AB5825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435" w:type="dxa"/>
          </w:tcPr>
          <w:p w:rsidR="00AB5825" w:rsidRDefault="00AB5825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E92571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743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8A6838">
        <w:rPr>
          <w:rFonts w:ascii="Arial" w:hAnsi="Arial" w:cs="Arial"/>
          <w:sz w:val="24"/>
          <w:szCs w:val="24"/>
          <w:lang w:val="es-ES_tradnl"/>
        </w:rPr>
        <w:t xml:space="preserve">cuarto </w:t>
      </w:r>
      <w:r w:rsidR="00E56D43">
        <w:rPr>
          <w:rFonts w:ascii="Arial" w:hAnsi="Arial" w:cs="Arial"/>
          <w:sz w:val="24"/>
          <w:szCs w:val="24"/>
          <w:lang w:val="es-ES_tradnl"/>
        </w:rPr>
        <w:t>trimestre</w:t>
      </w:r>
      <w:r w:rsidR="00F74B9E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 w:firstRow="1" w:lastRow="0" w:firstColumn="1" w:lastColumn="0" w:noHBand="0" w:noVBand="1"/>
      </w:tblPr>
      <w:tblGrid>
        <w:gridCol w:w="1559"/>
        <w:gridCol w:w="2719"/>
      </w:tblGrid>
      <w:tr w:rsidR="00814804" w:rsidRPr="008A6838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142B2C" w:rsidP="008A683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B575B6">
              <w:rPr>
                <w:rFonts w:ascii="Arial" w:hAnsi="Arial" w:cs="Arial"/>
                <w:sz w:val="24"/>
                <w:szCs w:val="24"/>
                <w:lang w:val="es-ES_tradnl"/>
              </w:rPr>
              <w:t>1,</w:t>
            </w:r>
            <w:r w:rsidR="008A6838">
              <w:rPr>
                <w:rFonts w:ascii="Arial" w:hAnsi="Arial" w:cs="Arial"/>
                <w:sz w:val="24"/>
                <w:szCs w:val="24"/>
                <w:lang w:val="es-ES_tradnl"/>
              </w:rPr>
              <w:t>767,019.14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RPr="008A6838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142B2C" w:rsidP="008A683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8A6838">
              <w:rPr>
                <w:rFonts w:ascii="Arial" w:hAnsi="Arial" w:cs="Arial"/>
                <w:sz w:val="24"/>
                <w:szCs w:val="24"/>
                <w:lang w:val="es-ES_tradnl"/>
              </w:rPr>
              <w:t>3,279,400</w:t>
            </w:r>
            <w:r w:rsidR="00C521D9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RPr="008A6838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857A12" w:rsidP="008A683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8A6838">
              <w:rPr>
                <w:rFonts w:ascii="Arial" w:hAnsi="Arial" w:cs="Arial"/>
                <w:sz w:val="24"/>
                <w:szCs w:val="24"/>
                <w:lang w:val="es-ES_tradnl"/>
              </w:rPr>
              <w:t>3,800,559.55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AB5825" w:rsidRPr="008A6838" w:rsidTr="008317B9">
        <w:tc>
          <w:tcPr>
            <w:tcW w:w="1559" w:type="dxa"/>
          </w:tcPr>
          <w:p w:rsidR="00AB5825" w:rsidRDefault="00AB5825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719" w:type="dxa"/>
          </w:tcPr>
          <w:p w:rsidR="00AB5825" w:rsidRDefault="00AB5825" w:rsidP="008A683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$148,000.00 M.N.</w:t>
            </w:r>
          </w:p>
        </w:tc>
      </w:tr>
      <w:tr w:rsidR="00814804" w:rsidRPr="008A6838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BF0F82" w:rsidRDefault="00142B2C" w:rsidP="008A683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s-ES_tradnl"/>
              </w:rPr>
            </w:pPr>
            <w:r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AB582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8,994</w:t>
            </w:r>
            <w:r w:rsidR="008A683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,978.69</w:t>
            </w:r>
            <w:r w:rsidR="00E56D4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9869A2"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35FE" w:rsidRDefault="00CD4C7A" w:rsidP="004535FE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535FE" w:rsidRDefault="004535FE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4535FE" w:rsidRDefault="004535FE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61DDE" w:rsidRDefault="00761DDE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3D7822">
        <w:rPr>
          <w:rFonts w:ascii="Arial" w:hAnsi="Arial" w:cs="Arial"/>
          <w:b/>
          <w:sz w:val="24"/>
          <w:szCs w:val="24"/>
          <w:lang w:val="es-ES_tradnl"/>
        </w:rPr>
        <w:t xml:space="preserve"> CUARTO</w:t>
      </w:r>
      <w:r w:rsidR="00E56D43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850"/>
      </w:tblGrid>
      <w:tr w:rsidR="00326A37" w:rsidRPr="008A6838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3D7822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295</w:t>
            </w:r>
          </w:p>
        </w:tc>
      </w:tr>
      <w:tr w:rsidR="00326A37" w:rsidRPr="008A6838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3D7822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288</w:t>
            </w:r>
          </w:p>
        </w:tc>
      </w:tr>
      <w:tr w:rsidR="00326A37" w:rsidRPr="008A6838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3D7822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583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0C5AE3">
      <w:headerReference w:type="default" r:id="rId25"/>
      <w:footerReference w:type="default" r:id="rId26"/>
      <w:pgSz w:w="12240" w:h="15840"/>
      <w:pgMar w:top="23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54" w:rsidRDefault="00F27754" w:rsidP="00D846D4">
      <w:pPr>
        <w:spacing w:after="0" w:line="240" w:lineRule="auto"/>
      </w:pPr>
      <w:r>
        <w:separator/>
      </w:r>
    </w:p>
  </w:endnote>
  <w:endnote w:type="continuationSeparator" w:id="0">
    <w:p w:rsidR="00F27754" w:rsidRDefault="00F27754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001"/>
      <w:docPartObj>
        <w:docPartGallery w:val="Page Numbers (Bottom of Page)"/>
        <w:docPartUnique/>
      </w:docPartObj>
    </w:sdtPr>
    <w:sdtEndPr/>
    <w:sdtContent>
      <w:p w:rsidR="00425191" w:rsidRDefault="009A108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0B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54" w:rsidRDefault="00F27754" w:rsidP="00D846D4">
      <w:pPr>
        <w:spacing w:after="0" w:line="240" w:lineRule="auto"/>
      </w:pPr>
      <w:r>
        <w:separator/>
      </w:r>
    </w:p>
  </w:footnote>
  <w:footnote w:type="continuationSeparator" w:id="0">
    <w:p w:rsidR="00F27754" w:rsidRDefault="00F27754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91" w:rsidRDefault="000C5AE3">
    <w:pPr>
      <w:pStyle w:val="Encabezado"/>
    </w:pPr>
    <w:r w:rsidRPr="000C5AE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136008</wp:posOffset>
          </wp:positionH>
          <wp:positionV relativeFrom="paragraph">
            <wp:posOffset>-119971</wp:posOffset>
          </wp:positionV>
          <wp:extent cx="2405173" cy="967563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173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9F"/>
    <w:rsid w:val="00000219"/>
    <w:rsid w:val="00003F0F"/>
    <w:rsid w:val="00006870"/>
    <w:rsid w:val="00010B93"/>
    <w:rsid w:val="000122DD"/>
    <w:rsid w:val="00012512"/>
    <w:rsid w:val="000125AE"/>
    <w:rsid w:val="00014C18"/>
    <w:rsid w:val="00015FEB"/>
    <w:rsid w:val="000163D4"/>
    <w:rsid w:val="0001790F"/>
    <w:rsid w:val="000200A4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2DB0"/>
    <w:rsid w:val="000337BD"/>
    <w:rsid w:val="00034F12"/>
    <w:rsid w:val="00035F11"/>
    <w:rsid w:val="00040FB1"/>
    <w:rsid w:val="000415DC"/>
    <w:rsid w:val="0004165C"/>
    <w:rsid w:val="000444F6"/>
    <w:rsid w:val="00044842"/>
    <w:rsid w:val="0004614D"/>
    <w:rsid w:val="00050173"/>
    <w:rsid w:val="00050491"/>
    <w:rsid w:val="0005052C"/>
    <w:rsid w:val="0005066F"/>
    <w:rsid w:val="0005101E"/>
    <w:rsid w:val="000532A4"/>
    <w:rsid w:val="00055F5C"/>
    <w:rsid w:val="00060F47"/>
    <w:rsid w:val="00062248"/>
    <w:rsid w:val="00062562"/>
    <w:rsid w:val="0006439A"/>
    <w:rsid w:val="00065D10"/>
    <w:rsid w:val="000662F0"/>
    <w:rsid w:val="00066EC6"/>
    <w:rsid w:val="00070B44"/>
    <w:rsid w:val="0007406D"/>
    <w:rsid w:val="00075CEC"/>
    <w:rsid w:val="00081EDC"/>
    <w:rsid w:val="00084F10"/>
    <w:rsid w:val="0008509F"/>
    <w:rsid w:val="0008522F"/>
    <w:rsid w:val="00086786"/>
    <w:rsid w:val="00086A84"/>
    <w:rsid w:val="0009042F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1B2"/>
    <w:rsid w:val="000A44A9"/>
    <w:rsid w:val="000A4EA3"/>
    <w:rsid w:val="000A6E3F"/>
    <w:rsid w:val="000A70B1"/>
    <w:rsid w:val="000A772B"/>
    <w:rsid w:val="000B09CD"/>
    <w:rsid w:val="000B1DB4"/>
    <w:rsid w:val="000B2C49"/>
    <w:rsid w:val="000B310A"/>
    <w:rsid w:val="000B478C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5AE3"/>
    <w:rsid w:val="000C6380"/>
    <w:rsid w:val="000C6C24"/>
    <w:rsid w:val="000C7641"/>
    <w:rsid w:val="000D00E5"/>
    <w:rsid w:val="000D1331"/>
    <w:rsid w:val="000D303C"/>
    <w:rsid w:val="000D4EEB"/>
    <w:rsid w:val="000D5101"/>
    <w:rsid w:val="000D5D77"/>
    <w:rsid w:val="000D5DB4"/>
    <w:rsid w:val="000D6691"/>
    <w:rsid w:val="000E1972"/>
    <w:rsid w:val="000E22E3"/>
    <w:rsid w:val="000E27F0"/>
    <w:rsid w:val="000E3338"/>
    <w:rsid w:val="000E3437"/>
    <w:rsid w:val="000E5D2A"/>
    <w:rsid w:val="000E6B0D"/>
    <w:rsid w:val="000E738A"/>
    <w:rsid w:val="000F22BF"/>
    <w:rsid w:val="000F2728"/>
    <w:rsid w:val="000F2A27"/>
    <w:rsid w:val="000F3231"/>
    <w:rsid w:val="000F3F52"/>
    <w:rsid w:val="000F6B89"/>
    <w:rsid w:val="001013D1"/>
    <w:rsid w:val="00101E9A"/>
    <w:rsid w:val="00102754"/>
    <w:rsid w:val="00105361"/>
    <w:rsid w:val="001063CF"/>
    <w:rsid w:val="00106D07"/>
    <w:rsid w:val="00106F41"/>
    <w:rsid w:val="001075E7"/>
    <w:rsid w:val="00110953"/>
    <w:rsid w:val="00111925"/>
    <w:rsid w:val="00111A85"/>
    <w:rsid w:val="00111D82"/>
    <w:rsid w:val="00112549"/>
    <w:rsid w:val="001138B9"/>
    <w:rsid w:val="00115B39"/>
    <w:rsid w:val="00117BD3"/>
    <w:rsid w:val="00120E90"/>
    <w:rsid w:val="00122283"/>
    <w:rsid w:val="00122B58"/>
    <w:rsid w:val="00122FE5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A8E"/>
    <w:rsid w:val="00132E4D"/>
    <w:rsid w:val="00132F7E"/>
    <w:rsid w:val="00134953"/>
    <w:rsid w:val="00136123"/>
    <w:rsid w:val="00137CC7"/>
    <w:rsid w:val="00140149"/>
    <w:rsid w:val="001413F2"/>
    <w:rsid w:val="001426A7"/>
    <w:rsid w:val="001427BD"/>
    <w:rsid w:val="00142B2C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4C53"/>
    <w:rsid w:val="00155389"/>
    <w:rsid w:val="0015568C"/>
    <w:rsid w:val="0015633F"/>
    <w:rsid w:val="00156B45"/>
    <w:rsid w:val="00157A34"/>
    <w:rsid w:val="00157B7B"/>
    <w:rsid w:val="00157CB9"/>
    <w:rsid w:val="00157D90"/>
    <w:rsid w:val="00160764"/>
    <w:rsid w:val="001611F6"/>
    <w:rsid w:val="0016202C"/>
    <w:rsid w:val="00164D66"/>
    <w:rsid w:val="0016527B"/>
    <w:rsid w:val="00166F1F"/>
    <w:rsid w:val="0017031C"/>
    <w:rsid w:val="00170406"/>
    <w:rsid w:val="001708AB"/>
    <w:rsid w:val="0017140F"/>
    <w:rsid w:val="0017326A"/>
    <w:rsid w:val="001732DC"/>
    <w:rsid w:val="0017343F"/>
    <w:rsid w:val="0017671E"/>
    <w:rsid w:val="00177B6F"/>
    <w:rsid w:val="001820C0"/>
    <w:rsid w:val="0018254B"/>
    <w:rsid w:val="00182AB9"/>
    <w:rsid w:val="00183D0D"/>
    <w:rsid w:val="00184099"/>
    <w:rsid w:val="001844D3"/>
    <w:rsid w:val="001867FE"/>
    <w:rsid w:val="00193E9F"/>
    <w:rsid w:val="00194B60"/>
    <w:rsid w:val="001952EA"/>
    <w:rsid w:val="001957A5"/>
    <w:rsid w:val="001958BF"/>
    <w:rsid w:val="00196CA6"/>
    <w:rsid w:val="001976E7"/>
    <w:rsid w:val="001A0307"/>
    <w:rsid w:val="001A1C49"/>
    <w:rsid w:val="001A1DA7"/>
    <w:rsid w:val="001A24D1"/>
    <w:rsid w:val="001A27C9"/>
    <w:rsid w:val="001A2DF1"/>
    <w:rsid w:val="001A3E72"/>
    <w:rsid w:val="001A4768"/>
    <w:rsid w:val="001A481F"/>
    <w:rsid w:val="001B116A"/>
    <w:rsid w:val="001B1485"/>
    <w:rsid w:val="001B2DBB"/>
    <w:rsid w:val="001B3750"/>
    <w:rsid w:val="001B37F3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4C22"/>
    <w:rsid w:val="001C51BB"/>
    <w:rsid w:val="001C6CF9"/>
    <w:rsid w:val="001C73DF"/>
    <w:rsid w:val="001C73E8"/>
    <w:rsid w:val="001D0127"/>
    <w:rsid w:val="001D03F9"/>
    <w:rsid w:val="001D0CAC"/>
    <w:rsid w:val="001D5861"/>
    <w:rsid w:val="001D5F64"/>
    <w:rsid w:val="001D69AD"/>
    <w:rsid w:val="001E054D"/>
    <w:rsid w:val="001E4400"/>
    <w:rsid w:val="001E6A37"/>
    <w:rsid w:val="001F13DE"/>
    <w:rsid w:val="001F3E25"/>
    <w:rsid w:val="001F5518"/>
    <w:rsid w:val="001F6122"/>
    <w:rsid w:val="001F7346"/>
    <w:rsid w:val="0020169B"/>
    <w:rsid w:val="00201D65"/>
    <w:rsid w:val="00202152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07D8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546A"/>
    <w:rsid w:val="00225A81"/>
    <w:rsid w:val="0022649C"/>
    <w:rsid w:val="002272B4"/>
    <w:rsid w:val="00227CB2"/>
    <w:rsid w:val="00230594"/>
    <w:rsid w:val="002314C6"/>
    <w:rsid w:val="00232ED8"/>
    <w:rsid w:val="00232F01"/>
    <w:rsid w:val="002330E4"/>
    <w:rsid w:val="00236478"/>
    <w:rsid w:val="00237061"/>
    <w:rsid w:val="00240DEC"/>
    <w:rsid w:val="002429CB"/>
    <w:rsid w:val="0024358C"/>
    <w:rsid w:val="00244F80"/>
    <w:rsid w:val="00250E46"/>
    <w:rsid w:val="00251367"/>
    <w:rsid w:val="00251373"/>
    <w:rsid w:val="00253786"/>
    <w:rsid w:val="002607DF"/>
    <w:rsid w:val="0026089C"/>
    <w:rsid w:val="00260AB3"/>
    <w:rsid w:val="00261067"/>
    <w:rsid w:val="00261098"/>
    <w:rsid w:val="002619D0"/>
    <w:rsid w:val="00262025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3E2D"/>
    <w:rsid w:val="00275002"/>
    <w:rsid w:val="00276C89"/>
    <w:rsid w:val="00281124"/>
    <w:rsid w:val="0028240F"/>
    <w:rsid w:val="00282ED6"/>
    <w:rsid w:val="002831B1"/>
    <w:rsid w:val="0028538B"/>
    <w:rsid w:val="00285B86"/>
    <w:rsid w:val="00286886"/>
    <w:rsid w:val="002873B2"/>
    <w:rsid w:val="00290560"/>
    <w:rsid w:val="00292891"/>
    <w:rsid w:val="00293D75"/>
    <w:rsid w:val="00295BE9"/>
    <w:rsid w:val="00295CF1"/>
    <w:rsid w:val="002A0CA9"/>
    <w:rsid w:val="002A2177"/>
    <w:rsid w:val="002A46FD"/>
    <w:rsid w:val="002A5B4A"/>
    <w:rsid w:val="002A7048"/>
    <w:rsid w:val="002A7277"/>
    <w:rsid w:val="002A7CC1"/>
    <w:rsid w:val="002B0D82"/>
    <w:rsid w:val="002B15B9"/>
    <w:rsid w:val="002B2659"/>
    <w:rsid w:val="002B289B"/>
    <w:rsid w:val="002B2923"/>
    <w:rsid w:val="002B2B5B"/>
    <w:rsid w:val="002B3317"/>
    <w:rsid w:val="002B56F9"/>
    <w:rsid w:val="002B5AE6"/>
    <w:rsid w:val="002B6163"/>
    <w:rsid w:val="002C1437"/>
    <w:rsid w:val="002C1B50"/>
    <w:rsid w:val="002C36B7"/>
    <w:rsid w:val="002C3CF2"/>
    <w:rsid w:val="002C3FF6"/>
    <w:rsid w:val="002C4231"/>
    <w:rsid w:val="002C4F58"/>
    <w:rsid w:val="002C77E3"/>
    <w:rsid w:val="002D01B6"/>
    <w:rsid w:val="002D0770"/>
    <w:rsid w:val="002D1837"/>
    <w:rsid w:val="002D2B08"/>
    <w:rsid w:val="002D2E79"/>
    <w:rsid w:val="002D51F7"/>
    <w:rsid w:val="002D5E51"/>
    <w:rsid w:val="002D6D77"/>
    <w:rsid w:val="002D7F5A"/>
    <w:rsid w:val="002E0043"/>
    <w:rsid w:val="002E209D"/>
    <w:rsid w:val="002E2346"/>
    <w:rsid w:val="002E2D4C"/>
    <w:rsid w:val="002E35B7"/>
    <w:rsid w:val="002E38D4"/>
    <w:rsid w:val="002E4C8C"/>
    <w:rsid w:val="002E59E9"/>
    <w:rsid w:val="002E7343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6A"/>
    <w:rsid w:val="0031019F"/>
    <w:rsid w:val="0031241B"/>
    <w:rsid w:val="00312747"/>
    <w:rsid w:val="00312A3F"/>
    <w:rsid w:val="00312B4D"/>
    <w:rsid w:val="00314F06"/>
    <w:rsid w:val="00315A60"/>
    <w:rsid w:val="003163E8"/>
    <w:rsid w:val="0032138C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CF2"/>
    <w:rsid w:val="00343D21"/>
    <w:rsid w:val="003445A5"/>
    <w:rsid w:val="00345125"/>
    <w:rsid w:val="003467AB"/>
    <w:rsid w:val="0035173F"/>
    <w:rsid w:val="00351824"/>
    <w:rsid w:val="0035203E"/>
    <w:rsid w:val="00352405"/>
    <w:rsid w:val="00353387"/>
    <w:rsid w:val="00354996"/>
    <w:rsid w:val="00356FC2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58E3"/>
    <w:rsid w:val="0037675A"/>
    <w:rsid w:val="003773B2"/>
    <w:rsid w:val="00380E7A"/>
    <w:rsid w:val="00380FBB"/>
    <w:rsid w:val="00381529"/>
    <w:rsid w:val="0038220E"/>
    <w:rsid w:val="00382D95"/>
    <w:rsid w:val="00382E35"/>
    <w:rsid w:val="00383901"/>
    <w:rsid w:val="00383F19"/>
    <w:rsid w:val="00384027"/>
    <w:rsid w:val="0038494F"/>
    <w:rsid w:val="00386E2C"/>
    <w:rsid w:val="00386E8B"/>
    <w:rsid w:val="00386F8C"/>
    <w:rsid w:val="003870B6"/>
    <w:rsid w:val="00390955"/>
    <w:rsid w:val="00392639"/>
    <w:rsid w:val="003931DC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43BE"/>
    <w:rsid w:val="003A67F8"/>
    <w:rsid w:val="003A7362"/>
    <w:rsid w:val="003B18AB"/>
    <w:rsid w:val="003B3093"/>
    <w:rsid w:val="003B30A0"/>
    <w:rsid w:val="003B4021"/>
    <w:rsid w:val="003B48B8"/>
    <w:rsid w:val="003B4A30"/>
    <w:rsid w:val="003B567F"/>
    <w:rsid w:val="003B680C"/>
    <w:rsid w:val="003C072F"/>
    <w:rsid w:val="003C30F4"/>
    <w:rsid w:val="003C31D2"/>
    <w:rsid w:val="003C501A"/>
    <w:rsid w:val="003C72E8"/>
    <w:rsid w:val="003C7879"/>
    <w:rsid w:val="003D11FB"/>
    <w:rsid w:val="003D2355"/>
    <w:rsid w:val="003D2E62"/>
    <w:rsid w:val="003D3C55"/>
    <w:rsid w:val="003D3D4B"/>
    <w:rsid w:val="003D3EDA"/>
    <w:rsid w:val="003D4D80"/>
    <w:rsid w:val="003D595E"/>
    <w:rsid w:val="003D6306"/>
    <w:rsid w:val="003D74CC"/>
    <w:rsid w:val="003D7822"/>
    <w:rsid w:val="003E49B4"/>
    <w:rsid w:val="003E4CB7"/>
    <w:rsid w:val="003E4DFF"/>
    <w:rsid w:val="003E5063"/>
    <w:rsid w:val="003E6458"/>
    <w:rsid w:val="003E6B4A"/>
    <w:rsid w:val="003E7DCB"/>
    <w:rsid w:val="003F22AE"/>
    <w:rsid w:val="003F303C"/>
    <w:rsid w:val="003F4795"/>
    <w:rsid w:val="003F4DCA"/>
    <w:rsid w:val="003F7322"/>
    <w:rsid w:val="0040083D"/>
    <w:rsid w:val="00402540"/>
    <w:rsid w:val="004032B1"/>
    <w:rsid w:val="00405C8F"/>
    <w:rsid w:val="00406199"/>
    <w:rsid w:val="00406215"/>
    <w:rsid w:val="00411812"/>
    <w:rsid w:val="0041195B"/>
    <w:rsid w:val="00411ED7"/>
    <w:rsid w:val="004130D4"/>
    <w:rsid w:val="0041385A"/>
    <w:rsid w:val="00413BDB"/>
    <w:rsid w:val="004149D4"/>
    <w:rsid w:val="00415476"/>
    <w:rsid w:val="00420DDD"/>
    <w:rsid w:val="0042270D"/>
    <w:rsid w:val="0042426A"/>
    <w:rsid w:val="00425191"/>
    <w:rsid w:val="00426E53"/>
    <w:rsid w:val="0042729F"/>
    <w:rsid w:val="0043031D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35FE"/>
    <w:rsid w:val="00454A7B"/>
    <w:rsid w:val="00454BEA"/>
    <w:rsid w:val="00455417"/>
    <w:rsid w:val="004562BF"/>
    <w:rsid w:val="00456926"/>
    <w:rsid w:val="00456AE0"/>
    <w:rsid w:val="004611E1"/>
    <w:rsid w:val="00461457"/>
    <w:rsid w:val="0046267A"/>
    <w:rsid w:val="00462822"/>
    <w:rsid w:val="004641DA"/>
    <w:rsid w:val="004654A3"/>
    <w:rsid w:val="00465E2B"/>
    <w:rsid w:val="004670CA"/>
    <w:rsid w:val="00467FB9"/>
    <w:rsid w:val="0047242F"/>
    <w:rsid w:val="00472C31"/>
    <w:rsid w:val="004744F5"/>
    <w:rsid w:val="0047574A"/>
    <w:rsid w:val="004772C9"/>
    <w:rsid w:val="00482BC8"/>
    <w:rsid w:val="004831A1"/>
    <w:rsid w:val="00483D01"/>
    <w:rsid w:val="004912F4"/>
    <w:rsid w:val="00492AD9"/>
    <w:rsid w:val="00492C8F"/>
    <w:rsid w:val="00493D0D"/>
    <w:rsid w:val="004944CC"/>
    <w:rsid w:val="00496BC6"/>
    <w:rsid w:val="00496F27"/>
    <w:rsid w:val="00497228"/>
    <w:rsid w:val="00497876"/>
    <w:rsid w:val="004A028C"/>
    <w:rsid w:val="004A240B"/>
    <w:rsid w:val="004A277A"/>
    <w:rsid w:val="004A4385"/>
    <w:rsid w:val="004A5A26"/>
    <w:rsid w:val="004A5C3A"/>
    <w:rsid w:val="004A642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B63F6"/>
    <w:rsid w:val="004B666E"/>
    <w:rsid w:val="004B7601"/>
    <w:rsid w:val="004C17A7"/>
    <w:rsid w:val="004C21B4"/>
    <w:rsid w:val="004C2B16"/>
    <w:rsid w:val="004C2DA4"/>
    <w:rsid w:val="004C3D69"/>
    <w:rsid w:val="004C4363"/>
    <w:rsid w:val="004C5147"/>
    <w:rsid w:val="004C5977"/>
    <w:rsid w:val="004C5F71"/>
    <w:rsid w:val="004C5FB8"/>
    <w:rsid w:val="004C671C"/>
    <w:rsid w:val="004C773F"/>
    <w:rsid w:val="004D0580"/>
    <w:rsid w:val="004D2AA4"/>
    <w:rsid w:val="004D34ED"/>
    <w:rsid w:val="004D5000"/>
    <w:rsid w:val="004D507F"/>
    <w:rsid w:val="004D64F3"/>
    <w:rsid w:val="004D6C22"/>
    <w:rsid w:val="004D73AA"/>
    <w:rsid w:val="004E0F7D"/>
    <w:rsid w:val="004E1D6F"/>
    <w:rsid w:val="004E3FB7"/>
    <w:rsid w:val="004E44D1"/>
    <w:rsid w:val="004E61EC"/>
    <w:rsid w:val="004F1788"/>
    <w:rsid w:val="004F205C"/>
    <w:rsid w:val="004F26B7"/>
    <w:rsid w:val="004F2F34"/>
    <w:rsid w:val="00500B9A"/>
    <w:rsid w:val="00501925"/>
    <w:rsid w:val="00502EE3"/>
    <w:rsid w:val="0050331F"/>
    <w:rsid w:val="00504375"/>
    <w:rsid w:val="00504A37"/>
    <w:rsid w:val="005058A1"/>
    <w:rsid w:val="005061B9"/>
    <w:rsid w:val="0051065A"/>
    <w:rsid w:val="00511191"/>
    <w:rsid w:val="00511546"/>
    <w:rsid w:val="00512924"/>
    <w:rsid w:val="0051428B"/>
    <w:rsid w:val="00515C75"/>
    <w:rsid w:val="00516817"/>
    <w:rsid w:val="00517910"/>
    <w:rsid w:val="00520388"/>
    <w:rsid w:val="00520474"/>
    <w:rsid w:val="00520C29"/>
    <w:rsid w:val="00520CF6"/>
    <w:rsid w:val="00521361"/>
    <w:rsid w:val="00521DD8"/>
    <w:rsid w:val="0052343E"/>
    <w:rsid w:val="00523898"/>
    <w:rsid w:val="005245DE"/>
    <w:rsid w:val="00524F51"/>
    <w:rsid w:val="005265CB"/>
    <w:rsid w:val="00527BFD"/>
    <w:rsid w:val="00532633"/>
    <w:rsid w:val="00532F9E"/>
    <w:rsid w:val="00533078"/>
    <w:rsid w:val="00533B8B"/>
    <w:rsid w:val="005348E6"/>
    <w:rsid w:val="00534E68"/>
    <w:rsid w:val="0053583B"/>
    <w:rsid w:val="00537060"/>
    <w:rsid w:val="005404F8"/>
    <w:rsid w:val="0054054F"/>
    <w:rsid w:val="00540E54"/>
    <w:rsid w:val="0054123B"/>
    <w:rsid w:val="00541359"/>
    <w:rsid w:val="005418D2"/>
    <w:rsid w:val="005459C0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089C"/>
    <w:rsid w:val="00572761"/>
    <w:rsid w:val="0057289F"/>
    <w:rsid w:val="00572D64"/>
    <w:rsid w:val="005731E8"/>
    <w:rsid w:val="00574B74"/>
    <w:rsid w:val="00575209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87F24"/>
    <w:rsid w:val="00590888"/>
    <w:rsid w:val="00590AC8"/>
    <w:rsid w:val="00593939"/>
    <w:rsid w:val="0059422A"/>
    <w:rsid w:val="005944DB"/>
    <w:rsid w:val="005946DC"/>
    <w:rsid w:val="005951AD"/>
    <w:rsid w:val="00595F2F"/>
    <w:rsid w:val="00597568"/>
    <w:rsid w:val="00597F82"/>
    <w:rsid w:val="005A11C4"/>
    <w:rsid w:val="005A2141"/>
    <w:rsid w:val="005A24AD"/>
    <w:rsid w:val="005A3895"/>
    <w:rsid w:val="005A51AF"/>
    <w:rsid w:val="005A611B"/>
    <w:rsid w:val="005A6B59"/>
    <w:rsid w:val="005A6C56"/>
    <w:rsid w:val="005A790F"/>
    <w:rsid w:val="005A7C6F"/>
    <w:rsid w:val="005B11E5"/>
    <w:rsid w:val="005B15A3"/>
    <w:rsid w:val="005B19D4"/>
    <w:rsid w:val="005B20C1"/>
    <w:rsid w:val="005B4334"/>
    <w:rsid w:val="005B4874"/>
    <w:rsid w:val="005B49C8"/>
    <w:rsid w:val="005B5E53"/>
    <w:rsid w:val="005B5EC3"/>
    <w:rsid w:val="005C21FB"/>
    <w:rsid w:val="005C24FC"/>
    <w:rsid w:val="005C5782"/>
    <w:rsid w:val="005C5A70"/>
    <w:rsid w:val="005C715A"/>
    <w:rsid w:val="005C733B"/>
    <w:rsid w:val="005C7440"/>
    <w:rsid w:val="005D14EF"/>
    <w:rsid w:val="005D19F4"/>
    <w:rsid w:val="005D2693"/>
    <w:rsid w:val="005D5E08"/>
    <w:rsid w:val="005D62E9"/>
    <w:rsid w:val="005D70B7"/>
    <w:rsid w:val="005D759F"/>
    <w:rsid w:val="005D772C"/>
    <w:rsid w:val="005D77B6"/>
    <w:rsid w:val="005E1EDF"/>
    <w:rsid w:val="005E21D9"/>
    <w:rsid w:val="005E57CD"/>
    <w:rsid w:val="005E592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3E0"/>
    <w:rsid w:val="0060162A"/>
    <w:rsid w:val="00601B4A"/>
    <w:rsid w:val="00603FF0"/>
    <w:rsid w:val="00607D38"/>
    <w:rsid w:val="006106DD"/>
    <w:rsid w:val="00610C62"/>
    <w:rsid w:val="00611024"/>
    <w:rsid w:val="006115C6"/>
    <w:rsid w:val="00612875"/>
    <w:rsid w:val="00612D50"/>
    <w:rsid w:val="00613198"/>
    <w:rsid w:val="00613B62"/>
    <w:rsid w:val="00614022"/>
    <w:rsid w:val="006151D9"/>
    <w:rsid w:val="0061661D"/>
    <w:rsid w:val="0061715C"/>
    <w:rsid w:val="00617CC0"/>
    <w:rsid w:val="00623ABC"/>
    <w:rsid w:val="0062411C"/>
    <w:rsid w:val="00631732"/>
    <w:rsid w:val="00632B61"/>
    <w:rsid w:val="00633DEF"/>
    <w:rsid w:val="00633FDB"/>
    <w:rsid w:val="00633FE8"/>
    <w:rsid w:val="0063418E"/>
    <w:rsid w:val="00634C48"/>
    <w:rsid w:val="0063544D"/>
    <w:rsid w:val="0063620A"/>
    <w:rsid w:val="00636917"/>
    <w:rsid w:val="006420DB"/>
    <w:rsid w:val="006445A2"/>
    <w:rsid w:val="00645B3E"/>
    <w:rsid w:val="00646844"/>
    <w:rsid w:val="00650DB9"/>
    <w:rsid w:val="00650F18"/>
    <w:rsid w:val="0065321E"/>
    <w:rsid w:val="006535BA"/>
    <w:rsid w:val="006549DB"/>
    <w:rsid w:val="00654F2F"/>
    <w:rsid w:val="00655214"/>
    <w:rsid w:val="00656ABD"/>
    <w:rsid w:val="00656B42"/>
    <w:rsid w:val="00656C83"/>
    <w:rsid w:val="00656FDC"/>
    <w:rsid w:val="006572F0"/>
    <w:rsid w:val="00657C58"/>
    <w:rsid w:val="00660300"/>
    <w:rsid w:val="0066262A"/>
    <w:rsid w:val="00662BF3"/>
    <w:rsid w:val="0066318C"/>
    <w:rsid w:val="00663380"/>
    <w:rsid w:val="00663BA8"/>
    <w:rsid w:val="0066418C"/>
    <w:rsid w:val="0066443F"/>
    <w:rsid w:val="00666144"/>
    <w:rsid w:val="00667DCE"/>
    <w:rsid w:val="00670DF9"/>
    <w:rsid w:val="00676340"/>
    <w:rsid w:val="006765CE"/>
    <w:rsid w:val="00680004"/>
    <w:rsid w:val="0068263C"/>
    <w:rsid w:val="00684221"/>
    <w:rsid w:val="006843DB"/>
    <w:rsid w:val="006851B1"/>
    <w:rsid w:val="00685EC2"/>
    <w:rsid w:val="006917DA"/>
    <w:rsid w:val="00691D54"/>
    <w:rsid w:val="00692638"/>
    <w:rsid w:val="00694000"/>
    <w:rsid w:val="006942FE"/>
    <w:rsid w:val="00695B40"/>
    <w:rsid w:val="00696EF8"/>
    <w:rsid w:val="00697F63"/>
    <w:rsid w:val="006A0C78"/>
    <w:rsid w:val="006A1B7D"/>
    <w:rsid w:val="006A2E33"/>
    <w:rsid w:val="006A2F25"/>
    <w:rsid w:val="006A4B59"/>
    <w:rsid w:val="006A5120"/>
    <w:rsid w:val="006A5AF2"/>
    <w:rsid w:val="006A657C"/>
    <w:rsid w:val="006A6AC8"/>
    <w:rsid w:val="006A734D"/>
    <w:rsid w:val="006B016F"/>
    <w:rsid w:val="006B01F3"/>
    <w:rsid w:val="006B0537"/>
    <w:rsid w:val="006B0B7C"/>
    <w:rsid w:val="006B259E"/>
    <w:rsid w:val="006B3C97"/>
    <w:rsid w:val="006B3FDC"/>
    <w:rsid w:val="006B4170"/>
    <w:rsid w:val="006B4851"/>
    <w:rsid w:val="006B4A97"/>
    <w:rsid w:val="006B513A"/>
    <w:rsid w:val="006B5FDB"/>
    <w:rsid w:val="006B623D"/>
    <w:rsid w:val="006B7517"/>
    <w:rsid w:val="006B7F33"/>
    <w:rsid w:val="006C07A0"/>
    <w:rsid w:val="006C0A84"/>
    <w:rsid w:val="006C2ACE"/>
    <w:rsid w:val="006C3703"/>
    <w:rsid w:val="006C5BA6"/>
    <w:rsid w:val="006C657B"/>
    <w:rsid w:val="006C7CB8"/>
    <w:rsid w:val="006D0B6A"/>
    <w:rsid w:val="006D0F61"/>
    <w:rsid w:val="006D4049"/>
    <w:rsid w:val="006D418E"/>
    <w:rsid w:val="006D58BE"/>
    <w:rsid w:val="006D5DC4"/>
    <w:rsid w:val="006D62E2"/>
    <w:rsid w:val="006D651F"/>
    <w:rsid w:val="006D6642"/>
    <w:rsid w:val="006D6ABF"/>
    <w:rsid w:val="006D6B9D"/>
    <w:rsid w:val="006D6D4A"/>
    <w:rsid w:val="006D7DB1"/>
    <w:rsid w:val="006E13B9"/>
    <w:rsid w:val="006E193A"/>
    <w:rsid w:val="006E2237"/>
    <w:rsid w:val="006E3D28"/>
    <w:rsid w:val="006E614C"/>
    <w:rsid w:val="006F11AE"/>
    <w:rsid w:val="006F1201"/>
    <w:rsid w:val="006F2D12"/>
    <w:rsid w:val="006F3006"/>
    <w:rsid w:val="006F4438"/>
    <w:rsid w:val="006F451D"/>
    <w:rsid w:val="006F4809"/>
    <w:rsid w:val="006F4BA7"/>
    <w:rsid w:val="006F4C21"/>
    <w:rsid w:val="006F76F5"/>
    <w:rsid w:val="0070265C"/>
    <w:rsid w:val="00706739"/>
    <w:rsid w:val="00706A82"/>
    <w:rsid w:val="00707B25"/>
    <w:rsid w:val="007104EB"/>
    <w:rsid w:val="00710755"/>
    <w:rsid w:val="00710B76"/>
    <w:rsid w:val="007110E5"/>
    <w:rsid w:val="00711616"/>
    <w:rsid w:val="00714354"/>
    <w:rsid w:val="00715FC6"/>
    <w:rsid w:val="007165A4"/>
    <w:rsid w:val="00717D5D"/>
    <w:rsid w:val="00720735"/>
    <w:rsid w:val="0072108D"/>
    <w:rsid w:val="00723526"/>
    <w:rsid w:val="007249B7"/>
    <w:rsid w:val="007254C1"/>
    <w:rsid w:val="007302C3"/>
    <w:rsid w:val="007308AF"/>
    <w:rsid w:val="007310BA"/>
    <w:rsid w:val="007314B5"/>
    <w:rsid w:val="00731BCE"/>
    <w:rsid w:val="00731E00"/>
    <w:rsid w:val="00733B74"/>
    <w:rsid w:val="007364BA"/>
    <w:rsid w:val="007364EC"/>
    <w:rsid w:val="00740F50"/>
    <w:rsid w:val="0074115F"/>
    <w:rsid w:val="00741301"/>
    <w:rsid w:val="00741624"/>
    <w:rsid w:val="00741BEF"/>
    <w:rsid w:val="00742E38"/>
    <w:rsid w:val="00743B52"/>
    <w:rsid w:val="007449BE"/>
    <w:rsid w:val="007453AE"/>
    <w:rsid w:val="00746461"/>
    <w:rsid w:val="007474F2"/>
    <w:rsid w:val="007569D6"/>
    <w:rsid w:val="007569F4"/>
    <w:rsid w:val="00756C59"/>
    <w:rsid w:val="007602A1"/>
    <w:rsid w:val="00761DDE"/>
    <w:rsid w:val="00762BEC"/>
    <w:rsid w:val="007653FF"/>
    <w:rsid w:val="00765F68"/>
    <w:rsid w:val="007660B6"/>
    <w:rsid w:val="00766901"/>
    <w:rsid w:val="00766D13"/>
    <w:rsid w:val="007720FB"/>
    <w:rsid w:val="0077253B"/>
    <w:rsid w:val="00772A54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5C8B"/>
    <w:rsid w:val="0079626F"/>
    <w:rsid w:val="007A1705"/>
    <w:rsid w:val="007A2B70"/>
    <w:rsid w:val="007A2CF5"/>
    <w:rsid w:val="007A30C7"/>
    <w:rsid w:val="007A5737"/>
    <w:rsid w:val="007A5EDD"/>
    <w:rsid w:val="007A644C"/>
    <w:rsid w:val="007A7CC1"/>
    <w:rsid w:val="007B065C"/>
    <w:rsid w:val="007B2B97"/>
    <w:rsid w:val="007B3554"/>
    <w:rsid w:val="007B4BC5"/>
    <w:rsid w:val="007B56BE"/>
    <w:rsid w:val="007B5E98"/>
    <w:rsid w:val="007B62D7"/>
    <w:rsid w:val="007B6607"/>
    <w:rsid w:val="007B70A4"/>
    <w:rsid w:val="007B77DE"/>
    <w:rsid w:val="007C086B"/>
    <w:rsid w:val="007C2D9A"/>
    <w:rsid w:val="007C3DC1"/>
    <w:rsid w:val="007C5C3D"/>
    <w:rsid w:val="007C7144"/>
    <w:rsid w:val="007C71F2"/>
    <w:rsid w:val="007D05BF"/>
    <w:rsid w:val="007D079A"/>
    <w:rsid w:val="007D15B5"/>
    <w:rsid w:val="007D1D5B"/>
    <w:rsid w:val="007D53A9"/>
    <w:rsid w:val="007D5724"/>
    <w:rsid w:val="007D64A0"/>
    <w:rsid w:val="007D6856"/>
    <w:rsid w:val="007D6D07"/>
    <w:rsid w:val="007D7A44"/>
    <w:rsid w:val="007E05FE"/>
    <w:rsid w:val="007E0859"/>
    <w:rsid w:val="007E0C3D"/>
    <w:rsid w:val="007E4E40"/>
    <w:rsid w:val="007E5670"/>
    <w:rsid w:val="007E5EDF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07D"/>
    <w:rsid w:val="007F57F7"/>
    <w:rsid w:val="007F62CE"/>
    <w:rsid w:val="007F6A7A"/>
    <w:rsid w:val="007F6B7A"/>
    <w:rsid w:val="007F6F50"/>
    <w:rsid w:val="007F7C1F"/>
    <w:rsid w:val="00803657"/>
    <w:rsid w:val="008044E9"/>
    <w:rsid w:val="00806239"/>
    <w:rsid w:val="008071E2"/>
    <w:rsid w:val="00807B2D"/>
    <w:rsid w:val="00811952"/>
    <w:rsid w:val="00811A05"/>
    <w:rsid w:val="008121ED"/>
    <w:rsid w:val="00812894"/>
    <w:rsid w:val="00813401"/>
    <w:rsid w:val="00814804"/>
    <w:rsid w:val="008151B7"/>
    <w:rsid w:val="00815702"/>
    <w:rsid w:val="00817663"/>
    <w:rsid w:val="00817D5F"/>
    <w:rsid w:val="00817F3B"/>
    <w:rsid w:val="008200F0"/>
    <w:rsid w:val="00821D2F"/>
    <w:rsid w:val="0082206E"/>
    <w:rsid w:val="00822F86"/>
    <w:rsid w:val="00823EB6"/>
    <w:rsid w:val="00824C0A"/>
    <w:rsid w:val="008252FC"/>
    <w:rsid w:val="008266DA"/>
    <w:rsid w:val="00826E9C"/>
    <w:rsid w:val="00830D32"/>
    <w:rsid w:val="008317B9"/>
    <w:rsid w:val="00831BF6"/>
    <w:rsid w:val="008335B9"/>
    <w:rsid w:val="00835C35"/>
    <w:rsid w:val="008365BE"/>
    <w:rsid w:val="00837586"/>
    <w:rsid w:val="00837F17"/>
    <w:rsid w:val="0084028A"/>
    <w:rsid w:val="008403D2"/>
    <w:rsid w:val="008413E3"/>
    <w:rsid w:val="00841795"/>
    <w:rsid w:val="00841968"/>
    <w:rsid w:val="008427A1"/>
    <w:rsid w:val="008427F8"/>
    <w:rsid w:val="008433D6"/>
    <w:rsid w:val="00843B58"/>
    <w:rsid w:val="008450FD"/>
    <w:rsid w:val="00845EB3"/>
    <w:rsid w:val="00847B40"/>
    <w:rsid w:val="0085024D"/>
    <w:rsid w:val="00851C00"/>
    <w:rsid w:val="00854DF2"/>
    <w:rsid w:val="00855608"/>
    <w:rsid w:val="0085618B"/>
    <w:rsid w:val="008573BC"/>
    <w:rsid w:val="00857A12"/>
    <w:rsid w:val="0086107E"/>
    <w:rsid w:val="008627E7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717C6"/>
    <w:rsid w:val="00874082"/>
    <w:rsid w:val="00876F23"/>
    <w:rsid w:val="008818EF"/>
    <w:rsid w:val="00885ACB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673C"/>
    <w:rsid w:val="008A6838"/>
    <w:rsid w:val="008A7B2C"/>
    <w:rsid w:val="008B0099"/>
    <w:rsid w:val="008B0446"/>
    <w:rsid w:val="008B2279"/>
    <w:rsid w:val="008B2F79"/>
    <w:rsid w:val="008B323B"/>
    <w:rsid w:val="008B4875"/>
    <w:rsid w:val="008B5156"/>
    <w:rsid w:val="008B5EEC"/>
    <w:rsid w:val="008B60BC"/>
    <w:rsid w:val="008B6366"/>
    <w:rsid w:val="008B7115"/>
    <w:rsid w:val="008B7277"/>
    <w:rsid w:val="008B7C63"/>
    <w:rsid w:val="008C2134"/>
    <w:rsid w:val="008C2232"/>
    <w:rsid w:val="008C2BBB"/>
    <w:rsid w:val="008C33F3"/>
    <w:rsid w:val="008C3C6A"/>
    <w:rsid w:val="008C422F"/>
    <w:rsid w:val="008C51A5"/>
    <w:rsid w:val="008C53B3"/>
    <w:rsid w:val="008C6164"/>
    <w:rsid w:val="008C6E3D"/>
    <w:rsid w:val="008D175F"/>
    <w:rsid w:val="008D1DBB"/>
    <w:rsid w:val="008D268B"/>
    <w:rsid w:val="008D2FD2"/>
    <w:rsid w:val="008D5002"/>
    <w:rsid w:val="008D5539"/>
    <w:rsid w:val="008D581D"/>
    <w:rsid w:val="008D7990"/>
    <w:rsid w:val="008E0DDB"/>
    <w:rsid w:val="008E0F66"/>
    <w:rsid w:val="008E25E4"/>
    <w:rsid w:val="008E312F"/>
    <w:rsid w:val="008E35D1"/>
    <w:rsid w:val="008E41C0"/>
    <w:rsid w:val="008E4564"/>
    <w:rsid w:val="008E4E15"/>
    <w:rsid w:val="008E53E8"/>
    <w:rsid w:val="008F0BA9"/>
    <w:rsid w:val="008F1A26"/>
    <w:rsid w:val="008F2706"/>
    <w:rsid w:val="008F349C"/>
    <w:rsid w:val="008F44E9"/>
    <w:rsid w:val="008F4813"/>
    <w:rsid w:val="008F54F2"/>
    <w:rsid w:val="00900FEE"/>
    <w:rsid w:val="00901763"/>
    <w:rsid w:val="00904C82"/>
    <w:rsid w:val="00910186"/>
    <w:rsid w:val="009122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090F"/>
    <w:rsid w:val="00932933"/>
    <w:rsid w:val="009335ED"/>
    <w:rsid w:val="009346A1"/>
    <w:rsid w:val="00934EDF"/>
    <w:rsid w:val="009358D4"/>
    <w:rsid w:val="009362D3"/>
    <w:rsid w:val="00937FFE"/>
    <w:rsid w:val="00940C96"/>
    <w:rsid w:val="00941836"/>
    <w:rsid w:val="00942225"/>
    <w:rsid w:val="0094273E"/>
    <w:rsid w:val="00942DD5"/>
    <w:rsid w:val="00944FFF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4A35"/>
    <w:rsid w:val="00955491"/>
    <w:rsid w:val="00956341"/>
    <w:rsid w:val="0095666A"/>
    <w:rsid w:val="009568EB"/>
    <w:rsid w:val="00956D4F"/>
    <w:rsid w:val="009578FF"/>
    <w:rsid w:val="0095790A"/>
    <w:rsid w:val="00960610"/>
    <w:rsid w:val="0096188D"/>
    <w:rsid w:val="00962719"/>
    <w:rsid w:val="009642AE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3987"/>
    <w:rsid w:val="00975F2B"/>
    <w:rsid w:val="00977233"/>
    <w:rsid w:val="00977E3E"/>
    <w:rsid w:val="009800C9"/>
    <w:rsid w:val="009809B9"/>
    <w:rsid w:val="00981DEA"/>
    <w:rsid w:val="00982A30"/>
    <w:rsid w:val="009839C4"/>
    <w:rsid w:val="00983AFC"/>
    <w:rsid w:val="00983DE5"/>
    <w:rsid w:val="00985595"/>
    <w:rsid w:val="00985914"/>
    <w:rsid w:val="009859F8"/>
    <w:rsid w:val="00985A46"/>
    <w:rsid w:val="00985E77"/>
    <w:rsid w:val="009869A2"/>
    <w:rsid w:val="009921AE"/>
    <w:rsid w:val="00992A47"/>
    <w:rsid w:val="009939FA"/>
    <w:rsid w:val="0099689D"/>
    <w:rsid w:val="00996CAB"/>
    <w:rsid w:val="00996F17"/>
    <w:rsid w:val="009A108C"/>
    <w:rsid w:val="009A124D"/>
    <w:rsid w:val="009A1471"/>
    <w:rsid w:val="009A1FE6"/>
    <w:rsid w:val="009A295A"/>
    <w:rsid w:val="009A3F2E"/>
    <w:rsid w:val="009A410A"/>
    <w:rsid w:val="009A4657"/>
    <w:rsid w:val="009A560F"/>
    <w:rsid w:val="009A563C"/>
    <w:rsid w:val="009A6D29"/>
    <w:rsid w:val="009B0F6C"/>
    <w:rsid w:val="009B131D"/>
    <w:rsid w:val="009B17C3"/>
    <w:rsid w:val="009B19F2"/>
    <w:rsid w:val="009B279F"/>
    <w:rsid w:val="009B2E5E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4CB5"/>
    <w:rsid w:val="009C6745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E02FE"/>
    <w:rsid w:val="009E0973"/>
    <w:rsid w:val="009E138F"/>
    <w:rsid w:val="009E1BCB"/>
    <w:rsid w:val="009E2648"/>
    <w:rsid w:val="009E3666"/>
    <w:rsid w:val="009E45C8"/>
    <w:rsid w:val="009E49CC"/>
    <w:rsid w:val="009F137B"/>
    <w:rsid w:val="009F233C"/>
    <w:rsid w:val="009F2BAE"/>
    <w:rsid w:val="009F3212"/>
    <w:rsid w:val="009F42B8"/>
    <w:rsid w:val="009F4EFE"/>
    <w:rsid w:val="009F5FE1"/>
    <w:rsid w:val="009F6E7D"/>
    <w:rsid w:val="009F72D3"/>
    <w:rsid w:val="00A00641"/>
    <w:rsid w:val="00A00A63"/>
    <w:rsid w:val="00A04B6A"/>
    <w:rsid w:val="00A10B65"/>
    <w:rsid w:val="00A10FC0"/>
    <w:rsid w:val="00A11F67"/>
    <w:rsid w:val="00A128D6"/>
    <w:rsid w:val="00A130B8"/>
    <w:rsid w:val="00A1385E"/>
    <w:rsid w:val="00A145E2"/>
    <w:rsid w:val="00A1597D"/>
    <w:rsid w:val="00A15C3E"/>
    <w:rsid w:val="00A16636"/>
    <w:rsid w:val="00A17231"/>
    <w:rsid w:val="00A172F0"/>
    <w:rsid w:val="00A17A74"/>
    <w:rsid w:val="00A204E4"/>
    <w:rsid w:val="00A20787"/>
    <w:rsid w:val="00A24B36"/>
    <w:rsid w:val="00A25051"/>
    <w:rsid w:val="00A2556F"/>
    <w:rsid w:val="00A259E8"/>
    <w:rsid w:val="00A259EB"/>
    <w:rsid w:val="00A26775"/>
    <w:rsid w:val="00A26A0E"/>
    <w:rsid w:val="00A31D75"/>
    <w:rsid w:val="00A323D7"/>
    <w:rsid w:val="00A33DD4"/>
    <w:rsid w:val="00A34544"/>
    <w:rsid w:val="00A3548D"/>
    <w:rsid w:val="00A370F3"/>
    <w:rsid w:val="00A3751D"/>
    <w:rsid w:val="00A405DF"/>
    <w:rsid w:val="00A4104B"/>
    <w:rsid w:val="00A4383F"/>
    <w:rsid w:val="00A4447F"/>
    <w:rsid w:val="00A4580E"/>
    <w:rsid w:val="00A47361"/>
    <w:rsid w:val="00A47491"/>
    <w:rsid w:val="00A47B4C"/>
    <w:rsid w:val="00A52591"/>
    <w:rsid w:val="00A53FA1"/>
    <w:rsid w:val="00A54004"/>
    <w:rsid w:val="00A55002"/>
    <w:rsid w:val="00A56642"/>
    <w:rsid w:val="00A56A75"/>
    <w:rsid w:val="00A57FAD"/>
    <w:rsid w:val="00A63164"/>
    <w:rsid w:val="00A635C3"/>
    <w:rsid w:val="00A66230"/>
    <w:rsid w:val="00A66C31"/>
    <w:rsid w:val="00A706B1"/>
    <w:rsid w:val="00A746C3"/>
    <w:rsid w:val="00A7637D"/>
    <w:rsid w:val="00A76B56"/>
    <w:rsid w:val="00A76EEE"/>
    <w:rsid w:val="00A80DCD"/>
    <w:rsid w:val="00A80F50"/>
    <w:rsid w:val="00A82BB0"/>
    <w:rsid w:val="00A83855"/>
    <w:rsid w:val="00A83F39"/>
    <w:rsid w:val="00A850BE"/>
    <w:rsid w:val="00A86010"/>
    <w:rsid w:val="00A8721C"/>
    <w:rsid w:val="00A91471"/>
    <w:rsid w:val="00A918B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A7F08"/>
    <w:rsid w:val="00AB0264"/>
    <w:rsid w:val="00AB0BA1"/>
    <w:rsid w:val="00AB1027"/>
    <w:rsid w:val="00AB3054"/>
    <w:rsid w:val="00AB3456"/>
    <w:rsid w:val="00AB4199"/>
    <w:rsid w:val="00AB497C"/>
    <w:rsid w:val="00AB5825"/>
    <w:rsid w:val="00AC0575"/>
    <w:rsid w:val="00AC2517"/>
    <w:rsid w:val="00AC3135"/>
    <w:rsid w:val="00AC352D"/>
    <w:rsid w:val="00AC3CBD"/>
    <w:rsid w:val="00AC419F"/>
    <w:rsid w:val="00AC535F"/>
    <w:rsid w:val="00AC6DBF"/>
    <w:rsid w:val="00AC6F22"/>
    <w:rsid w:val="00AC778E"/>
    <w:rsid w:val="00AD2BD4"/>
    <w:rsid w:val="00AD4F02"/>
    <w:rsid w:val="00AD7B75"/>
    <w:rsid w:val="00AD7E9F"/>
    <w:rsid w:val="00AE22FC"/>
    <w:rsid w:val="00AE2637"/>
    <w:rsid w:val="00AE2B64"/>
    <w:rsid w:val="00AE348E"/>
    <w:rsid w:val="00AE38F4"/>
    <w:rsid w:val="00AE5B03"/>
    <w:rsid w:val="00AE7075"/>
    <w:rsid w:val="00AF01F8"/>
    <w:rsid w:val="00AF066B"/>
    <w:rsid w:val="00AF0704"/>
    <w:rsid w:val="00AF16F5"/>
    <w:rsid w:val="00AF1FA6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1E3E"/>
    <w:rsid w:val="00B040D2"/>
    <w:rsid w:val="00B0468C"/>
    <w:rsid w:val="00B05799"/>
    <w:rsid w:val="00B05B39"/>
    <w:rsid w:val="00B05E80"/>
    <w:rsid w:val="00B069E2"/>
    <w:rsid w:val="00B07117"/>
    <w:rsid w:val="00B07174"/>
    <w:rsid w:val="00B0793B"/>
    <w:rsid w:val="00B07F40"/>
    <w:rsid w:val="00B110C8"/>
    <w:rsid w:val="00B1207E"/>
    <w:rsid w:val="00B135B7"/>
    <w:rsid w:val="00B1394C"/>
    <w:rsid w:val="00B13EF9"/>
    <w:rsid w:val="00B1515A"/>
    <w:rsid w:val="00B2191C"/>
    <w:rsid w:val="00B22DAE"/>
    <w:rsid w:val="00B23459"/>
    <w:rsid w:val="00B23B4A"/>
    <w:rsid w:val="00B25387"/>
    <w:rsid w:val="00B2625E"/>
    <w:rsid w:val="00B27465"/>
    <w:rsid w:val="00B3078D"/>
    <w:rsid w:val="00B31ED3"/>
    <w:rsid w:val="00B32BEE"/>
    <w:rsid w:val="00B330CE"/>
    <w:rsid w:val="00B342F2"/>
    <w:rsid w:val="00B37C0B"/>
    <w:rsid w:val="00B37EAD"/>
    <w:rsid w:val="00B404FC"/>
    <w:rsid w:val="00B40762"/>
    <w:rsid w:val="00B412D2"/>
    <w:rsid w:val="00B413D3"/>
    <w:rsid w:val="00B43D6F"/>
    <w:rsid w:val="00B4600C"/>
    <w:rsid w:val="00B46C69"/>
    <w:rsid w:val="00B47790"/>
    <w:rsid w:val="00B50422"/>
    <w:rsid w:val="00B527AC"/>
    <w:rsid w:val="00B55D0B"/>
    <w:rsid w:val="00B55DF0"/>
    <w:rsid w:val="00B55E36"/>
    <w:rsid w:val="00B5666A"/>
    <w:rsid w:val="00B575B6"/>
    <w:rsid w:val="00B60935"/>
    <w:rsid w:val="00B610FC"/>
    <w:rsid w:val="00B61540"/>
    <w:rsid w:val="00B62701"/>
    <w:rsid w:val="00B630C4"/>
    <w:rsid w:val="00B63BA9"/>
    <w:rsid w:val="00B6473A"/>
    <w:rsid w:val="00B64B37"/>
    <w:rsid w:val="00B653C6"/>
    <w:rsid w:val="00B663FF"/>
    <w:rsid w:val="00B6654C"/>
    <w:rsid w:val="00B677B7"/>
    <w:rsid w:val="00B70B30"/>
    <w:rsid w:val="00B713D4"/>
    <w:rsid w:val="00B72C0D"/>
    <w:rsid w:val="00B73937"/>
    <w:rsid w:val="00B73F46"/>
    <w:rsid w:val="00B74D9B"/>
    <w:rsid w:val="00B74EC6"/>
    <w:rsid w:val="00B76634"/>
    <w:rsid w:val="00B76E51"/>
    <w:rsid w:val="00B779BD"/>
    <w:rsid w:val="00B810C4"/>
    <w:rsid w:val="00B829F8"/>
    <w:rsid w:val="00B850C6"/>
    <w:rsid w:val="00B85EBE"/>
    <w:rsid w:val="00B86015"/>
    <w:rsid w:val="00B86C60"/>
    <w:rsid w:val="00B870BF"/>
    <w:rsid w:val="00B904C8"/>
    <w:rsid w:val="00B931DD"/>
    <w:rsid w:val="00B944D0"/>
    <w:rsid w:val="00B9497E"/>
    <w:rsid w:val="00B949F8"/>
    <w:rsid w:val="00B96613"/>
    <w:rsid w:val="00B96D79"/>
    <w:rsid w:val="00BA31A6"/>
    <w:rsid w:val="00BA4975"/>
    <w:rsid w:val="00BA4A74"/>
    <w:rsid w:val="00BA54A8"/>
    <w:rsid w:val="00BA6808"/>
    <w:rsid w:val="00BA7074"/>
    <w:rsid w:val="00BB0063"/>
    <w:rsid w:val="00BB0409"/>
    <w:rsid w:val="00BB044E"/>
    <w:rsid w:val="00BB0744"/>
    <w:rsid w:val="00BB1E9C"/>
    <w:rsid w:val="00BB3464"/>
    <w:rsid w:val="00BB407A"/>
    <w:rsid w:val="00BB61BD"/>
    <w:rsid w:val="00BB68CA"/>
    <w:rsid w:val="00BB6911"/>
    <w:rsid w:val="00BB6D67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45C2"/>
    <w:rsid w:val="00BC5D9F"/>
    <w:rsid w:val="00BC687E"/>
    <w:rsid w:val="00BC6AE9"/>
    <w:rsid w:val="00BC6E15"/>
    <w:rsid w:val="00BC75E6"/>
    <w:rsid w:val="00BC78AA"/>
    <w:rsid w:val="00BD0132"/>
    <w:rsid w:val="00BD0800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0F82"/>
    <w:rsid w:val="00BF2165"/>
    <w:rsid w:val="00BF4345"/>
    <w:rsid w:val="00BF488D"/>
    <w:rsid w:val="00BF7055"/>
    <w:rsid w:val="00BF7834"/>
    <w:rsid w:val="00C0010E"/>
    <w:rsid w:val="00C0162E"/>
    <w:rsid w:val="00C0184D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12D"/>
    <w:rsid w:val="00C05813"/>
    <w:rsid w:val="00C0722B"/>
    <w:rsid w:val="00C07C49"/>
    <w:rsid w:val="00C122E6"/>
    <w:rsid w:val="00C13DFB"/>
    <w:rsid w:val="00C13FCD"/>
    <w:rsid w:val="00C204B9"/>
    <w:rsid w:val="00C2075D"/>
    <w:rsid w:val="00C211C1"/>
    <w:rsid w:val="00C21536"/>
    <w:rsid w:val="00C232B5"/>
    <w:rsid w:val="00C23FD3"/>
    <w:rsid w:val="00C241E4"/>
    <w:rsid w:val="00C24831"/>
    <w:rsid w:val="00C24AF8"/>
    <w:rsid w:val="00C2540D"/>
    <w:rsid w:val="00C26BCB"/>
    <w:rsid w:val="00C26C78"/>
    <w:rsid w:val="00C270EB"/>
    <w:rsid w:val="00C317F8"/>
    <w:rsid w:val="00C31C0E"/>
    <w:rsid w:val="00C32A0B"/>
    <w:rsid w:val="00C33106"/>
    <w:rsid w:val="00C3411A"/>
    <w:rsid w:val="00C348E7"/>
    <w:rsid w:val="00C3687B"/>
    <w:rsid w:val="00C371B0"/>
    <w:rsid w:val="00C4176A"/>
    <w:rsid w:val="00C41A09"/>
    <w:rsid w:val="00C42596"/>
    <w:rsid w:val="00C43DE7"/>
    <w:rsid w:val="00C451B7"/>
    <w:rsid w:val="00C50136"/>
    <w:rsid w:val="00C50F91"/>
    <w:rsid w:val="00C511B1"/>
    <w:rsid w:val="00C521D9"/>
    <w:rsid w:val="00C53024"/>
    <w:rsid w:val="00C54818"/>
    <w:rsid w:val="00C55A7C"/>
    <w:rsid w:val="00C55EB3"/>
    <w:rsid w:val="00C6015D"/>
    <w:rsid w:val="00C61520"/>
    <w:rsid w:val="00C617C3"/>
    <w:rsid w:val="00C6221F"/>
    <w:rsid w:val="00C6459A"/>
    <w:rsid w:val="00C65515"/>
    <w:rsid w:val="00C674E3"/>
    <w:rsid w:val="00C67AA6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2BDF"/>
    <w:rsid w:val="00C86249"/>
    <w:rsid w:val="00C8764B"/>
    <w:rsid w:val="00C87753"/>
    <w:rsid w:val="00C87BD6"/>
    <w:rsid w:val="00C9148F"/>
    <w:rsid w:val="00C9219B"/>
    <w:rsid w:val="00C92F0C"/>
    <w:rsid w:val="00C94430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403B"/>
    <w:rsid w:val="00CA6D8D"/>
    <w:rsid w:val="00CB03DC"/>
    <w:rsid w:val="00CB094A"/>
    <w:rsid w:val="00CB14A0"/>
    <w:rsid w:val="00CB16F4"/>
    <w:rsid w:val="00CB1D01"/>
    <w:rsid w:val="00CB373C"/>
    <w:rsid w:val="00CB388D"/>
    <w:rsid w:val="00CB4672"/>
    <w:rsid w:val="00CB483D"/>
    <w:rsid w:val="00CB4EB5"/>
    <w:rsid w:val="00CB6876"/>
    <w:rsid w:val="00CB6A14"/>
    <w:rsid w:val="00CC265D"/>
    <w:rsid w:val="00CC290D"/>
    <w:rsid w:val="00CC4184"/>
    <w:rsid w:val="00CC4543"/>
    <w:rsid w:val="00CC67E3"/>
    <w:rsid w:val="00CC691B"/>
    <w:rsid w:val="00CC70A2"/>
    <w:rsid w:val="00CC7310"/>
    <w:rsid w:val="00CD1536"/>
    <w:rsid w:val="00CD19B6"/>
    <w:rsid w:val="00CD48A8"/>
    <w:rsid w:val="00CD4C7A"/>
    <w:rsid w:val="00CD5005"/>
    <w:rsid w:val="00CD53F7"/>
    <w:rsid w:val="00CD7E53"/>
    <w:rsid w:val="00CE0F43"/>
    <w:rsid w:val="00CE1445"/>
    <w:rsid w:val="00CE1D36"/>
    <w:rsid w:val="00CE2E81"/>
    <w:rsid w:val="00CE4760"/>
    <w:rsid w:val="00CE4FB2"/>
    <w:rsid w:val="00CF02B3"/>
    <w:rsid w:val="00CF1979"/>
    <w:rsid w:val="00CF19B6"/>
    <w:rsid w:val="00CF3B64"/>
    <w:rsid w:val="00CF436D"/>
    <w:rsid w:val="00CF6233"/>
    <w:rsid w:val="00CF7F38"/>
    <w:rsid w:val="00D00203"/>
    <w:rsid w:val="00D00541"/>
    <w:rsid w:val="00D00ED7"/>
    <w:rsid w:val="00D01F54"/>
    <w:rsid w:val="00D01F9D"/>
    <w:rsid w:val="00D02A28"/>
    <w:rsid w:val="00D049C6"/>
    <w:rsid w:val="00D065EE"/>
    <w:rsid w:val="00D068E0"/>
    <w:rsid w:val="00D075A4"/>
    <w:rsid w:val="00D07BA3"/>
    <w:rsid w:val="00D10E29"/>
    <w:rsid w:val="00D11EC0"/>
    <w:rsid w:val="00D12B1A"/>
    <w:rsid w:val="00D13EF4"/>
    <w:rsid w:val="00D17E70"/>
    <w:rsid w:val="00D21EC4"/>
    <w:rsid w:val="00D226AC"/>
    <w:rsid w:val="00D2289F"/>
    <w:rsid w:val="00D23079"/>
    <w:rsid w:val="00D23C4F"/>
    <w:rsid w:val="00D24F52"/>
    <w:rsid w:val="00D25E56"/>
    <w:rsid w:val="00D302F2"/>
    <w:rsid w:val="00D30A09"/>
    <w:rsid w:val="00D31FEC"/>
    <w:rsid w:val="00D32967"/>
    <w:rsid w:val="00D33B76"/>
    <w:rsid w:val="00D3463F"/>
    <w:rsid w:val="00D34B65"/>
    <w:rsid w:val="00D353E4"/>
    <w:rsid w:val="00D358CA"/>
    <w:rsid w:val="00D41E6F"/>
    <w:rsid w:val="00D453AF"/>
    <w:rsid w:val="00D4545E"/>
    <w:rsid w:val="00D4618C"/>
    <w:rsid w:val="00D51AAA"/>
    <w:rsid w:val="00D52175"/>
    <w:rsid w:val="00D53866"/>
    <w:rsid w:val="00D538E7"/>
    <w:rsid w:val="00D547B1"/>
    <w:rsid w:val="00D54979"/>
    <w:rsid w:val="00D552AF"/>
    <w:rsid w:val="00D55305"/>
    <w:rsid w:val="00D578B8"/>
    <w:rsid w:val="00D60552"/>
    <w:rsid w:val="00D6144C"/>
    <w:rsid w:val="00D66B4B"/>
    <w:rsid w:val="00D6781A"/>
    <w:rsid w:val="00D714C5"/>
    <w:rsid w:val="00D71A15"/>
    <w:rsid w:val="00D71FEF"/>
    <w:rsid w:val="00D727EE"/>
    <w:rsid w:val="00D77576"/>
    <w:rsid w:val="00D80ED1"/>
    <w:rsid w:val="00D81AAA"/>
    <w:rsid w:val="00D846D4"/>
    <w:rsid w:val="00D900C6"/>
    <w:rsid w:val="00D90A89"/>
    <w:rsid w:val="00D90D5E"/>
    <w:rsid w:val="00D9136F"/>
    <w:rsid w:val="00D919F1"/>
    <w:rsid w:val="00D921D2"/>
    <w:rsid w:val="00D9233F"/>
    <w:rsid w:val="00D92C2C"/>
    <w:rsid w:val="00D93C15"/>
    <w:rsid w:val="00D9691A"/>
    <w:rsid w:val="00D97494"/>
    <w:rsid w:val="00D97A7F"/>
    <w:rsid w:val="00D97E21"/>
    <w:rsid w:val="00DA18BF"/>
    <w:rsid w:val="00DA19CF"/>
    <w:rsid w:val="00DA3D61"/>
    <w:rsid w:val="00DA43AA"/>
    <w:rsid w:val="00DA5540"/>
    <w:rsid w:val="00DA6D21"/>
    <w:rsid w:val="00DB2263"/>
    <w:rsid w:val="00DB5A59"/>
    <w:rsid w:val="00DC1385"/>
    <w:rsid w:val="00DC1BF5"/>
    <w:rsid w:val="00DC3F39"/>
    <w:rsid w:val="00DC4127"/>
    <w:rsid w:val="00DC72D0"/>
    <w:rsid w:val="00DD0040"/>
    <w:rsid w:val="00DD0E31"/>
    <w:rsid w:val="00DD2AA5"/>
    <w:rsid w:val="00DD2F01"/>
    <w:rsid w:val="00DD5264"/>
    <w:rsid w:val="00DD63C0"/>
    <w:rsid w:val="00DE0A65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E73DF"/>
    <w:rsid w:val="00DF0832"/>
    <w:rsid w:val="00DF2407"/>
    <w:rsid w:val="00DF2824"/>
    <w:rsid w:val="00DF40F8"/>
    <w:rsid w:val="00DF464A"/>
    <w:rsid w:val="00DF5101"/>
    <w:rsid w:val="00DF5842"/>
    <w:rsid w:val="00DF5EC3"/>
    <w:rsid w:val="00DF5F8E"/>
    <w:rsid w:val="00DF6ACC"/>
    <w:rsid w:val="00DF76BC"/>
    <w:rsid w:val="00DF7B2A"/>
    <w:rsid w:val="00E000AA"/>
    <w:rsid w:val="00E00733"/>
    <w:rsid w:val="00E00994"/>
    <w:rsid w:val="00E010A2"/>
    <w:rsid w:val="00E02222"/>
    <w:rsid w:val="00E02C5A"/>
    <w:rsid w:val="00E06DFA"/>
    <w:rsid w:val="00E07817"/>
    <w:rsid w:val="00E11C9B"/>
    <w:rsid w:val="00E11E98"/>
    <w:rsid w:val="00E12233"/>
    <w:rsid w:val="00E13BFA"/>
    <w:rsid w:val="00E14CBC"/>
    <w:rsid w:val="00E158B5"/>
    <w:rsid w:val="00E15F1B"/>
    <w:rsid w:val="00E16B0B"/>
    <w:rsid w:val="00E17181"/>
    <w:rsid w:val="00E17AD3"/>
    <w:rsid w:val="00E17B3D"/>
    <w:rsid w:val="00E2087E"/>
    <w:rsid w:val="00E211A9"/>
    <w:rsid w:val="00E22000"/>
    <w:rsid w:val="00E2273C"/>
    <w:rsid w:val="00E22CC8"/>
    <w:rsid w:val="00E22F19"/>
    <w:rsid w:val="00E2548B"/>
    <w:rsid w:val="00E25F54"/>
    <w:rsid w:val="00E2680A"/>
    <w:rsid w:val="00E26A78"/>
    <w:rsid w:val="00E27191"/>
    <w:rsid w:val="00E27268"/>
    <w:rsid w:val="00E27C0D"/>
    <w:rsid w:val="00E30BE7"/>
    <w:rsid w:val="00E35894"/>
    <w:rsid w:val="00E40B9F"/>
    <w:rsid w:val="00E41261"/>
    <w:rsid w:val="00E41CBB"/>
    <w:rsid w:val="00E4263E"/>
    <w:rsid w:val="00E43B5E"/>
    <w:rsid w:val="00E45AB4"/>
    <w:rsid w:val="00E47802"/>
    <w:rsid w:val="00E47B14"/>
    <w:rsid w:val="00E509A6"/>
    <w:rsid w:val="00E517B6"/>
    <w:rsid w:val="00E51A5A"/>
    <w:rsid w:val="00E53913"/>
    <w:rsid w:val="00E53CEE"/>
    <w:rsid w:val="00E53FB3"/>
    <w:rsid w:val="00E552A8"/>
    <w:rsid w:val="00E5558B"/>
    <w:rsid w:val="00E556B0"/>
    <w:rsid w:val="00E5690A"/>
    <w:rsid w:val="00E56D43"/>
    <w:rsid w:val="00E5748E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37F1"/>
    <w:rsid w:val="00E756A0"/>
    <w:rsid w:val="00E75B12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2571"/>
    <w:rsid w:val="00E93191"/>
    <w:rsid w:val="00E93BB8"/>
    <w:rsid w:val="00E93C26"/>
    <w:rsid w:val="00E93CD1"/>
    <w:rsid w:val="00E9470B"/>
    <w:rsid w:val="00E951E3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A64C6"/>
    <w:rsid w:val="00EA7975"/>
    <w:rsid w:val="00EB0099"/>
    <w:rsid w:val="00EB0206"/>
    <w:rsid w:val="00EB13B7"/>
    <w:rsid w:val="00EB23C3"/>
    <w:rsid w:val="00EB247B"/>
    <w:rsid w:val="00EB30A2"/>
    <w:rsid w:val="00EB3BA8"/>
    <w:rsid w:val="00EB3BF0"/>
    <w:rsid w:val="00EB59EE"/>
    <w:rsid w:val="00EB7731"/>
    <w:rsid w:val="00EC13A6"/>
    <w:rsid w:val="00EC1976"/>
    <w:rsid w:val="00EC1EF5"/>
    <w:rsid w:val="00EC31BB"/>
    <w:rsid w:val="00EC40C3"/>
    <w:rsid w:val="00EC4337"/>
    <w:rsid w:val="00EC4B84"/>
    <w:rsid w:val="00EC5E9B"/>
    <w:rsid w:val="00ED1478"/>
    <w:rsid w:val="00ED5D61"/>
    <w:rsid w:val="00ED7451"/>
    <w:rsid w:val="00ED75AB"/>
    <w:rsid w:val="00EE0140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E7FE6"/>
    <w:rsid w:val="00EF0A8F"/>
    <w:rsid w:val="00EF0C7F"/>
    <w:rsid w:val="00EF11AF"/>
    <w:rsid w:val="00EF176C"/>
    <w:rsid w:val="00EF2404"/>
    <w:rsid w:val="00EF2914"/>
    <w:rsid w:val="00EF2ABB"/>
    <w:rsid w:val="00EF2BCC"/>
    <w:rsid w:val="00EF36B5"/>
    <w:rsid w:val="00EF458D"/>
    <w:rsid w:val="00EF56D0"/>
    <w:rsid w:val="00EF6323"/>
    <w:rsid w:val="00EF75EF"/>
    <w:rsid w:val="00F0074E"/>
    <w:rsid w:val="00F01573"/>
    <w:rsid w:val="00F01846"/>
    <w:rsid w:val="00F021DB"/>
    <w:rsid w:val="00F0350A"/>
    <w:rsid w:val="00F04F08"/>
    <w:rsid w:val="00F0685F"/>
    <w:rsid w:val="00F07E4B"/>
    <w:rsid w:val="00F115E3"/>
    <w:rsid w:val="00F11864"/>
    <w:rsid w:val="00F12820"/>
    <w:rsid w:val="00F12C35"/>
    <w:rsid w:val="00F1321D"/>
    <w:rsid w:val="00F1489D"/>
    <w:rsid w:val="00F14CC5"/>
    <w:rsid w:val="00F16505"/>
    <w:rsid w:val="00F176E4"/>
    <w:rsid w:val="00F22814"/>
    <w:rsid w:val="00F22DAB"/>
    <w:rsid w:val="00F27754"/>
    <w:rsid w:val="00F27D2D"/>
    <w:rsid w:val="00F3399F"/>
    <w:rsid w:val="00F34858"/>
    <w:rsid w:val="00F34BCA"/>
    <w:rsid w:val="00F40CE9"/>
    <w:rsid w:val="00F42F0C"/>
    <w:rsid w:val="00F442B7"/>
    <w:rsid w:val="00F44730"/>
    <w:rsid w:val="00F465AC"/>
    <w:rsid w:val="00F46684"/>
    <w:rsid w:val="00F46EAF"/>
    <w:rsid w:val="00F47205"/>
    <w:rsid w:val="00F50C4B"/>
    <w:rsid w:val="00F52177"/>
    <w:rsid w:val="00F522EC"/>
    <w:rsid w:val="00F52C60"/>
    <w:rsid w:val="00F53035"/>
    <w:rsid w:val="00F540B0"/>
    <w:rsid w:val="00F54E27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1CB1"/>
    <w:rsid w:val="00F71E1B"/>
    <w:rsid w:val="00F722D9"/>
    <w:rsid w:val="00F731CD"/>
    <w:rsid w:val="00F734A4"/>
    <w:rsid w:val="00F73DF8"/>
    <w:rsid w:val="00F74168"/>
    <w:rsid w:val="00F74B9E"/>
    <w:rsid w:val="00F753BF"/>
    <w:rsid w:val="00F7544F"/>
    <w:rsid w:val="00F755FD"/>
    <w:rsid w:val="00F76CF5"/>
    <w:rsid w:val="00F803F1"/>
    <w:rsid w:val="00F82C2E"/>
    <w:rsid w:val="00F84A6A"/>
    <w:rsid w:val="00F87BD0"/>
    <w:rsid w:val="00F905AD"/>
    <w:rsid w:val="00F92E18"/>
    <w:rsid w:val="00F93807"/>
    <w:rsid w:val="00F957B0"/>
    <w:rsid w:val="00F959E9"/>
    <w:rsid w:val="00F96B03"/>
    <w:rsid w:val="00FA13CF"/>
    <w:rsid w:val="00FA1531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4C98"/>
    <w:rsid w:val="00FC50D5"/>
    <w:rsid w:val="00FC6FDA"/>
    <w:rsid w:val="00FC7AEC"/>
    <w:rsid w:val="00FD1518"/>
    <w:rsid w:val="00FD156B"/>
    <w:rsid w:val="00FD2AFF"/>
    <w:rsid w:val="00FD4142"/>
    <w:rsid w:val="00FD6483"/>
    <w:rsid w:val="00FD6A63"/>
    <w:rsid w:val="00FD7026"/>
    <w:rsid w:val="00FD78DE"/>
    <w:rsid w:val="00FE0AE9"/>
    <w:rsid w:val="00FE2D77"/>
    <w:rsid w:val="00FE31A1"/>
    <w:rsid w:val="00FE3C61"/>
    <w:rsid w:val="00FE4E50"/>
    <w:rsid w:val="00FE74C0"/>
    <w:rsid w:val="00FE7D0C"/>
    <w:rsid w:val="00FE7F5E"/>
    <w:rsid w:val="00FF2E9A"/>
    <w:rsid w:val="00FF3657"/>
    <w:rsid w:val="00FF475C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2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15159482799452895"/>
                  <c:y val="7.54037645519131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9178878681831437E-2"/>
                  <c:y val="-0.350235657540126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125658833894069"/>
                  <c:y val="7.67635258201053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413810513269175"/>
                  <c:y val="3.32208876035267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5686825605132687"/>
                  <c:y val="1.16186415035922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Hoja1!$A$2:$A$6</c:f>
              <c:strCache>
                <c:ptCount val="5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Laboral</c:v>
                </c:pt>
                <c:pt idx="4">
                  <c:v>Orientación y canalización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182</c:v>
                </c:pt>
                <c:pt idx="1">
                  <c:v>228</c:v>
                </c:pt>
                <c:pt idx="2">
                  <c:v>157</c:v>
                </c:pt>
                <c:pt idx="3">
                  <c:v>2</c:v>
                </c:pt>
                <c:pt idx="4">
                  <c:v>40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2.9512977544475141E-2"/>
                  <c:y val="-0.388888888888920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599628171478612"/>
                  <c:y val="9.9206349206349656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157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4901"/>
          <c:h val="0.7876984126986007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0.22548574657334497"/>
                  <c:y val="0.1067160354955630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1547517497812782"/>
                  <c:y val="-0.1410604924384452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74</c:v>
                </c:pt>
                <c:pt idx="1">
                  <c:v>57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0562481773111695E-2"/>
                  <c:y val="-0.42498062742157228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</c:dLbl>
            <c:showLegendKey val="1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Otros Asuntos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1837817147856518E-3"/>
                  <c:y val="-0.407460317460317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Mediación o conciliación aceptada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9284412365121021E-3"/>
                  <c:y val="-0.507149418822647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</c:v>
                </c:pt>
                <c:pt idx="1">
                  <c:v>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923"/>
          <c:h val="0.787698412698601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9521234324876074"/>
                  <c:y val="-0.1619060117485314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090186643336248"/>
                  <c:y val="0.1471747281589798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583333333333334"/>
                  <c:y val="-0.3095244344456942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205</c:v>
                </c:pt>
                <c:pt idx="1">
                  <c:v>384</c:v>
                </c:pt>
                <c:pt idx="2">
                  <c:v>150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945"/>
          <c:h val="0.7876984126986018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7437937445319332"/>
                  <c:y val="-0.25811742282214717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2459445173519977"/>
                  <c:y val="0.13850268716410449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lang="en-US" sz="1200" b="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s-MX"/>
                      <a:t>Mercantil
34%</a:t>
                    </a:r>
                  </a:p>
                </c:rich>
              </c:tx>
              <c:spPr/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>
                  <c:v>1767019</c:v>
                </c:pt>
                <c:pt idx="1">
                  <c:v>3279400</c:v>
                </c:pt>
                <c:pt idx="2">
                  <c:v>3800559</c:v>
                </c:pt>
                <c:pt idx="3" formatCode="General">
                  <c:v>148000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608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0.22215075820933167"/>
                  <c:y val="-0.244618432129947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5355982305818988"/>
                  <c:y val="0.142998068637646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295</c:v>
                </c:pt>
                <c:pt idx="1">
                  <c:v>288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bubble3D val="0"/>
            <c:explosion val="0"/>
          </c:dPt>
          <c:dLbls>
            <c:dLbl>
              <c:idx val="2"/>
              <c:layout>
                <c:manualLayout>
                  <c:x val="8.9766764448561576E-2"/>
                  <c:y val="0.117660027790644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182</c:v>
                </c:pt>
                <c:pt idx="1">
                  <c:v>228</c:v>
                </c:pt>
                <c:pt idx="2">
                  <c:v>157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559669256870324E-2"/>
          <c:y val="0.12607094102329772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1919529980351538"/>
                  <c:y val="0.1897956744708177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5777061064724221"/>
                  <c:y val="-5.71833047782748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3119400277163381E-2"/>
                  <c:y val="0.127187708683323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Hoja1!$A$2:$A$7</c:f>
              <c:strCache>
                <c:ptCount val="6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Contoversia familiar</c:v>
                </c:pt>
                <c:pt idx="4">
                  <c:v>Liquidación conyugal</c:v>
                </c:pt>
                <c:pt idx="5">
                  <c:v>Otros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48</c:v>
                </c:pt>
                <c:pt idx="1">
                  <c:v>62</c:v>
                </c:pt>
                <c:pt idx="2">
                  <c:v>70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4635"/>
          <c:h val="0.7876984126985919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bubble3D val="0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0.39389216972878854"/>
                  <c:y val="-0.29673322084739379"/>
                </c:manualLayout>
              </c:layout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176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  <a:prstDash val="solid"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0.17361117153173541"/>
          <c:w val="0.82407407407414901"/>
          <c:h val="0.7876984126986007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18050360892388451"/>
                  <c:y val="-0.166410579892982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4265419947506561"/>
                  <c:y val="7.17486695378547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119</c:v>
                </c:pt>
                <c:pt idx="1">
                  <c:v>86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94494857835728E-2"/>
          <c:y val="0.1414631224788177"/>
          <c:w val="0.81566590927495219"/>
          <c:h val="0.7776374429706356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3867689860001617"/>
                  <c:y val="0.121461008649086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2504518151202127"/>
                  <c:y val="-0.2537434163011496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6428413300020917E-2"/>
                  <c:y val="1.374461719074217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2099213551119174E-2"/>
                  <c:y val="0.4210784054677728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-2.8469354216385381E-2"/>
                  <c:y val="0.37134844721591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6.709314346446775E-2"/>
                  <c:y val="0.241962693282578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2524324659054642"/>
                  <c:y val="5.18709154644260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8.3444179277953237E-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4.8403713601135698E-2"/>
                  <c:y val="-2.42681745318747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2808543759616256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0.14590108178401479"/>
                  <c:y val="-2.24044813190297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Hipotecaria</c:v>
                </c:pt>
                <c:pt idx="8">
                  <c:v>Garantia de servicio</c:v>
                </c:pt>
                <c:pt idx="9">
                  <c:v>Reparación de daño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Posesion</c:v>
                </c:pt>
                <c:pt idx="13">
                  <c:v>Otros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11</c:v>
                </c:pt>
                <c:pt idx="1">
                  <c:v>114</c:v>
                </c:pt>
                <c:pt idx="2">
                  <c:v>44</c:v>
                </c:pt>
                <c:pt idx="3">
                  <c:v>6</c:v>
                </c:pt>
                <c:pt idx="4">
                  <c:v>0</c:v>
                </c:pt>
                <c:pt idx="5">
                  <c:v>8</c:v>
                </c:pt>
                <c:pt idx="6">
                  <c:v>10</c:v>
                </c:pt>
                <c:pt idx="7">
                  <c:v>1</c:v>
                </c:pt>
                <c:pt idx="8">
                  <c:v>11</c:v>
                </c:pt>
                <c:pt idx="9">
                  <c:v>14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</c:dPt>
          <c:dLbls>
            <c:dLbl>
              <c:idx val="1"/>
              <c:layout>
                <c:manualLayout>
                  <c:x val="0.22688721201516476"/>
                  <c:y val="9.9206349206350459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221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879"/>
          <c:h val="0.7876984126986000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0864355497229767"/>
                  <c:y val="-0.245183727034120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3611111111111124"/>
                  <c:y val="0.107974628171478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100</c:v>
                </c:pt>
                <c:pt idx="1">
                  <c:v>145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layout>
                <c:manualLayout>
                  <c:x val="-4.1667578011081896E-2"/>
                  <c:y val="-0.46653387076615421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Tìtulo de crèdito 100%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Otros, 1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Tìtulo de crèdito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2124-8AD7-4621-9EB8-A8EDD40C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Uribe Perdomo</cp:lastModifiedBy>
  <cp:revision>3</cp:revision>
  <cp:lastPrinted>2023-01-18T20:54:00Z</cp:lastPrinted>
  <dcterms:created xsi:type="dcterms:W3CDTF">2023-01-18T20:54:00Z</dcterms:created>
  <dcterms:modified xsi:type="dcterms:W3CDTF">2023-01-18T20:54:00Z</dcterms:modified>
</cp:coreProperties>
</file>