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3224B5">
              <w:rPr>
                <w:rFonts w:ascii="Arial" w:hAnsi="Arial" w:cs="Arial"/>
                <w:b/>
                <w:sz w:val="26"/>
                <w:szCs w:val="26"/>
              </w:rPr>
              <w:t>VA A LA SESIÓN EXTRAORDINARIA 40</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3224B5">
        <w:rPr>
          <w:rFonts w:ascii="Arial" w:hAnsi="Arial" w:cs="Arial"/>
          <w:sz w:val="28"/>
          <w:szCs w:val="28"/>
        </w:rPr>
        <w:t>ocho</w:t>
      </w:r>
      <w:r w:rsidR="000B581D">
        <w:rPr>
          <w:rFonts w:ascii="Arial" w:hAnsi="Arial" w:cs="Arial"/>
          <w:sz w:val="28"/>
          <w:szCs w:val="28"/>
        </w:rPr>
        <w:t xml:space="preserve"> </w:t>
      </w:r>
      <w:r w:rsidR="00410F69" w:rsidRPr="00B50DFE">
        <w:rPr>
          <w:rFonts w:ascii="Arial" w:hAnsi="Arial" w:cs="Arial"/>
          <w:sz w:val="28"/>
          <w:szCs w:val="28"/>
        </w:rPr>
        <w:t>de</w:t>
      </w:r>
      <w:r w:rsidR="003224B5">
        <w:rPr>
          <w:rFonts w:ascii="Arial" w:hAnsi="Arial" w:cs="Arial"/>
          <w:sz w:val="28"/>
          <w:szCs w:val="28"/>
        </w:rPr>
        <w:t xml:space="preserve"> agost</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A66C59">
        <w:rPr>
          <w:rFonts w:ascii="Arial" w:hAnsi="Arial" w:cs="Arial"/>
          <w:sz w:val="28"/>
          <w:szCs w:val="28"/>
        </w:rPr>
        <w:t>40</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2F0DE5">
        <w:rPr>
          <w:rFonts w:ascii="Arial" w:hAnsi="Arial" w:cs="Arial"/>
          <w:b/>
          <w:sz w:val="28"/>
          <w:szCs w:val="28"/>
        </w:rPr>
        <w:t>27</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2F0DE5">
        <w:rPr>
          <w:rFonts w:ascii="Arial" w:hAnsi="Arial" w:cs="Arial"/>
          <w:sz w:val="28"/>
          <w:szCs w:val="28"/>
        </w:rPr>
        <w:t>el cinco de jul</w:t>
      </w:r>
      <w:r w:rsidR="00994442">
        <w:rPr>
          <w:rFonts w:ascii="Arial" w:hAnsi="Arial" w:cs="Arial"/>
          <w:sz w:val="28"/>
          <w:szCs w:val="28"/>
        </w:rPr>
        <w:t>io del año en curso</w:t>
      </w:r>
      <w:r w:rsidR="00FD6C00">
        <w:rPr>
          <w:rFonts w:ascii="Arial" w:hAnsi="Arial" w:cs="Arial"/>
          <w:sz w:val="28"/>
          <w:szCs w:val="28"/>
        </w:rPr>
        <w:t xml:space="preserve">, bajo </w:t>
      </w:r>
      <w:r w:rsidR="00A70087">
        <w:rPr>
          <w:rFonts w:ascii="Arial" w:hAnsi="Arial" w:cs="Arial"/>
          <w:sz w:val="28"/>
          <w:szCs w:val="28"/>
        </w:rPr>
        <w:t>e</w:t>
      </w:r>
      <w:r w:rsidR="002722B1" w:rsidRPr="00B50DFE">
        <w:rPr>
          <w:rFonts w:ascii="Arial" w:hAnsi="Arial" w:cs="Arial"/>
          <w:sz w:val="28"/>
          <w:szCs w:val="28"/>
        </w:rPr>
        <w:t>l folio número 0</w:t>
      </w:r>
      <w:r w:rsidR="002F0DE5">
        <w:rPr>
          <w:rFonts w:ascii="Arial" w:hAnsi="Arial" w:cs="Arial"/>
          <w:sz w:val="28"/>
          <w:szCs w:val="28"/>
        </w:rPr>
        <w:t>162</w:t>
      </w:r>
      <w:r w:rsidR="00994442">
        <w:rPr>
          <w:rFonts w:ascii="Arial" w:hAnsi="Arial" w:cs="Arial"/>
          <w:sz w:val="28"/>
          <w:szCs w:val="28"/>
        </w:rPr>
        <w:t>/</w:t>
      </w:r>
      <w:r w:rsidRPr="00B50DFE">
        <w:rPr>
          <w:rFonts w:ascii="Arial" w:hAnsi="Arial" w:cs="Arial"/>
          <w:sz w:val="28"/>
          <w:szCs w:val="28"/>
        </w:rPr>
        <w:t>17.</w:t>
      </w:r>
    </w:p>
    <w:p w:rsidR="008F1EE2" w:rsidRPr="00230FE9" w:rsidRDefault="008F1EE2" w:rsidP="008F1EE2">
      <w:pPr>
        <w:spacing w:after="0" w:line="360" w:lineRule="auto"/>
        <w:ind w:firstLine="567"/>
        <w:jc w:val="both"/>
        <w:rPr>
          <w:rFonts w:ascii="Arial" w:hAnsi="Arial" w:cs="Arial"/>
          <w:b/>
          <w:sz w:val="36"/>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autorizando la clasificación de la información de carácter confidencial</w:t>
      </w:r>
      <w:r w:rsidR="00073EE4">
        <w:rPr>
          <w:rFonts w:ascii="Arial" w:hAnsi="Arial" w:cs="Arial"/>
          <w:b/>
          <w:sz w:val="28"/>
          <w:szCs w:val="28"/>
        </w:rPr>
        <w:t>,</w:t>
      </w:r>
      <w:r w:rsidR="00C823F9" w:rsidRPr="00B50DFE">
        <w:rPr>
          <w:rFonts w:ascii="Arial" w:hAnsi="Arial" w:cs="Arial"/>
          <w:b/>
          <w:sz w:val="28"/>
          <w:szCs w:val="28"/>
        </w:rPr>
        <w:t xml:space="preserve">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9F3A35">
        <w:rPr>
          <w:rFonts w:ascii="Arial" w:hAnsi="Arial" w:cs="Arial"/>
          <w:b/>
          <w:sz w:val="28"/>
          <w:szCs w:val="28"/>
        </w:rPr>
        <w:t xml:space="preserve"> Secretaria General de Acuerdos del Tribunal Superior de Justicia </w:t>
      </w:r>
      <w:r w:rsidR="009F3A35" w:rsidRPr="008E4BA4">
        <w:rPr>
          <w:rFonts w:ascii="Arial" w:hAnsi="Arial" w:cs="Arial"/>
          <w:sz w:val="28"/>
          <w:szCs w:val="28"/>
        </w:rPr>
        <w:t>del Estado de</w:t>
      </w:r>
      <w:r w:rsidR="00B65A88" w:rsidRPr="008E4BA4">
        <w:rPr>
          <w:rFonts w:ascii="Arial" w:hAnsi="Arial" w:cs="Arial"/>
          <w:sz w:val="28"/>
          <w:szCs w:val="28"/>
        </w:rPr>
        <w:t xml:space="preserve"> Baja California</w:t>
      </w:r>
      <w:r w:rsidR="00EF3FE2" w:rsidRPr="00B50DFE">
        <w:rPr>
          <w:rFonts w:ascii="Arial" w:hAnsi="Arial" w:cs="Arial"/>
          <w:sz w:val="28"/>
          <w:szCs w:val="28"/>
        </w:rPr>
        <w:t xml:space="preserve"> </w:t>
      </w:r>
      <w:r w:rsidR="00994442">
        <w:rPr>
          <w:rFonts w:ascii="Arial" w:hAnsi="Arial" w:cs="Arial"/>
          <w:b/>
          <w:sz w:val="28"/>
          <w:szCs w:val="28"/>
        </w:rPr>
        <w:t>y la</w:t>
      </w:r>
      <w:r w:rsidR="002D03C1">
        <w:rPr>
          <w:rFonts w:ascii="Arial" w:hAnsi="Arial" w:cs="Arial"/>
          <w:b/>
          <w:sz w:val="28"/>
          <w:szCs w:val="28"/>
        </w:rPr>
        <w:t>s</w:t>
      </w:r>
      <w:r w:rsidR="009F3A35">
        <w:rPr>
          <w:rFonts w:ascii="Arial" w:hAnsi="Arial" w:cs="Arial"/>
          <w:b/>
          <w:sz w:val="28"/>
          <w:szCs w:val="28"/>
        </w:rPr>
        <w:t xml:space="preserve"> versio</w:t>
      </w:r>
      <w:r w:rsidR="0050243F">
        <w:rPr>
          <w:rFonts w:ascii="Arial" w:hAnsi="Arial" w:cs="Arial"/>
          <w:b/>
          <w:sz w:val="28"/>
          <w:szCs w:val="28"/>
        </w:rPr>
        <w:t>n</w:t>
      </w:r>
      <w:r w:rsidR="009F3A35">
        <w:rPr>
          <w:rFonts w:ascii="Arial" w:hAnsi="Arial" w:cs="Arial"/>
          <w:b/>
          <w:sz w:val="28"/>
          <w:szCs w:val="28"/>
        </w:rPr>
        <w:t>es</w:t>
      </w:r>
      <w:r w:rsidR="00994442">
        <w:rPr>
          <w:rFonts w:ascii="Arial" w:hAnsi="Arial" w:cs="Arial"/>
          <w:b/>
          <w:sz w:val="28"/>
          <w:szCs w:val="28"/>
        </w:rPr>
        <w:t xml:space="preserve"> pública</w:t>
      </w:r>
      <w:r w:rsidR="009F3A35">
        <w:rPr>
          <w:rFonts w:ascii="Arial" w:hAnsi="Arial" w:cs="Arial"/>
          <w:b/>
          <w:sz w:val="28"/>
          <w:szCs w:val="28"/>
        </w:rPr>
        <w:t>s</w:t>
      </w:r>
      <w:r w:rsidR="00C16D3B">
        <w:rPr>
          <w:rFonts w:ascii="Arial" w:hAnsi="Arial" w:cs="Arial"/>
          <w:b/>
          <w:sz w:val="28"/>
          <w:szCs w:val="28"/>
        </w:rPr>
        <w:t xml:space="preserve"> </w:t>
      </w:r>
      <w:r w:rsidR="00DC757E">
        <w:rPr>
          <w:rFonts w:ascii="Arial" w:hAnsi="Arial" w:cs="Arial"/>
          <w:b/>
          <w:sz w:val="28"/>
          <w:szCs w:val="28"/>
        </w:rPr>
        <w:t>de</w:t>
      </w:r>
      <w:r w:rsidR="009F3A35">
        <w:rPr>
          <w:rFonts w:ascii="Arial" w:hAnsi="Arial" w:cs="Arial"/>
          <w:b/>
          <w:sz w:val="28"/>
          <w:szCs w:val="28"/>
        </w:rPr>
        <w:t xml:space="preserve"> </w:t>
      </w:r>
      <w:r w:rsidR="0050243F">
        <w:rPr>
          <w:rFonts w:ascii="Arial" w:hAnsi="Arial" w:cs="Arial"/>
          <w:b/>
          <w:sz w:val="28"/>
          <w:szCs w:val="28"/>
        </w:rPr>
        <w:t>l</w:t>
      </w:r>
      <w:r w:rsidR="009F3A35">
        <w:rPr>
          <w:rFonts w:ascii="Arial" w:hAnsi="Arial" w:cs="Arial"/>
          <w:b/>
          <w:sz w:val="28"/>
          <w:szCs w:val="28"/>
        </w:rPr>
        <w:t>as sentencias</w:t>
      </w:r>
      <w:r w:rsidR="002D03C1">
        <w:rPr>
          <w:rFonts w:ascii="Arial" w:hAnsi="Arial" w:cs="Arial"/>
          <w:b/>
          <w:sz w:val="28"/>
          <w:szCs w:val="28"/>
        </w:rPr>
        <w:t xml:space="preserve"> </w:t>
      </w:r>
      <w:r w:rsidR="0010035A">
        <w:rPr>
          <w:rFonts w:ascii="Arial" w:hAnsi="Arial" w:cs="Arial"/>
          <w:b/>
          <w:sz w:val="28"/>
          <w:szCs w:val="28"/>
        </w:rPr>
        <w:t>dictadas en los tocas penales 1347/2002, 3733/2000, 574/2003, 0005/2001, 1862/2001 y 406/2002</w:t>
      </w:r>
      <w:r w:rsidR="008E4BA4">
        <w:rPr>
          <w:rFonts w:ascii="Arial" w:hAnsi="Arial" w:cs="Arial"/>
          <w:b/>
          <w:sz w:val="28"/>
          <w:szCs w:val="28"/>
        </w:rPr>
        <w:t xml:space="preserve">, </w:t>
      </w:r>
      <w:r w:rsidR="0064548A" w:rsidRPr="00B50DFE">
        <w:rPr>
          <w:rFonts w:ascii="Arial" w:hAnsi="Arial" w:cs="Arial"/>
          <w:sz w:val="28"/>
          <w:szCs w:val="28"/>
        </w:rPr>
        <w:t>requerid</w:t>
      </w:r>
      <w:r w:rsidR="008E4BA4">
        <w:rPr>
          <w:rFonts w:ascii="Arial" w:hAnsi="Arial" w:cs="Arial"/>
          <w:sz w:val="28"/>
          <w:szCs w:val="28"/>
        </w:rPr>
        <w:t>a</w:t>
      </w:r>
      <w:r w:rsidR="00005582">
        <w:rPr>
          <w:rFonts w:ascii="Arial" w:hAnsi="Arial" w:cs="Arial"/>
          <w:sz w:val="28"/>
          <w:szCs w:val="28"/>
        </w:rPr>
        <w:t>s</w:t>
      </w:r>
      <w:r w:rsidR="00DC757E">
        <w:rPr>
          <w:rFonts w:ascii="Arial" w:hAnsi="Arial" w:cs="Arial"/>
          <w:sz w:val="28"/>
          <w:szCs w:val="28"/>
        </w:rPr>
        <w:t xml:space="preserve"> por </w:t>
      </w:r>
      <w:r w:rsidR="004D01D5">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4D01D5">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230FE9" w:rsidRDefault="006C11EB" w:rsidP="008F1EE2">
      <w:pPr>
        <w:spacing w:after="0" w:line="360" w:lineRule="auto"/>
        <w:jc w:val="both"/>
        <w:rPr>
          <w:rFonts w:ascii="Arial" w:hAnsi="Arial" w:cs="Arial"/>
          <w:b/>
          <w:sz w:val="36"/>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0B581D" w:rsidRPr="008F015A" w:rsidRDefault="008F1EE2" w:rsidP="00544630">
      <w:pPr>
        <w:spacing w:after="0" w:line="360" w:lineRule="auto"/>
        <w:jc w:val="both"/>
        <w:rPr>
          <w:rFonts w:ascii="Arial" w:hAnsi="Arial" w:cs="Arial"/>
          <w:sz w:val="28"/>
          <w:szCs w:val="28"/>
        </w:rPr>
      </w:pPr>
      <w:r w:rsidRPr="008F015A">
        <w:rPr>
          <w:rFonts w:ascii="Arial" w:hAnsi="Arial" w:cs="Arial"/>
          <w:sz w:val="28"/>
          <w:szCs w:val="28"/>
        </w:rPr>
        <w:t>A) Mediante la</w:t>
      </w:r>
      <w:r w:rsidR="001712E6" w:rsidRPr="008F015A">
        <w:rPr>
          <w:rFonts w:ascii="Arial" w:hAnsi="Arial" w:cs="Arial"/>
          <w:sz w:val="28"/>
          <w:szCs w:val="28"/>
        </w:rPr>
        <w:t xml:space="preserve"> solicitud</w:t>
      </w:r>
      <w:r w:rsidR="000B581D" w:rsidRPr="008F015A">
        <w:rPr>
          <w:rFonts w:ascii="Arial" w:hAnsi="Arial" w:cs="Arial"/>
          <w:sz w:val="28"/>
          <w:szCs w:val="28"/>
        </w:rPr>
        <w:t xml:space="preserve"> </w:t>
      </w:r>
      <w:r w:rsidR="008E4BA4" w:rsidRPr="008F015A">
        <w:rPr>
          <w:rFonts w:ascii="Arial" w:hAnsi="Arial" w:cs="Arial"/>
          <w:sz w:val="28"/>
          <w:szCs w:val="28"/>
        </w:rPr>
        <w:t xml:space="preserve">de referencia, </w:t>
      </w:r>
      <w:r w:rsidRPr="008F015A">
        <w:rPr>
          <w:rFonts w:ascii="Arial" w:hAnsi="Arial" w:cs="Arial"/>
          <w:sz w:val="28"/>
          <w:szCs w:val="28"/>
        </w:rPr>
        <w:t>se pide</w:t>
      </w:r>
      <w:r w:rsidR="00155874" w:rsidRPr="008F015A">
        <w:rPr>
          <w:rFonts w:ascii="Arial" w:hAnsi="Arial" w:cs="Arial"/>
          <w:sz w:val="28"/>
          <w:szCs w:val="28"/>
        </w:rPr>
        <w:t xml:space="preserve"> </w:t>
      </w:r>
      <w:r w:rsidR="008E4BA4" w:rsidRPr="008F015A">
        <w:rPr>
          <w:rFonts w:ascii="Arial" w:hAnsi="Arial" w:cs="Arial"/>
          <w:sz w:val="28"/>
          <w:szCs w:val="28"/>
        </w:rPr>
        <w:t>c</w:t>
      </w:r>
      <w:r w:rsidR="00D47EE3" w:rsidRPr="008F015A">
        <w:rPr>
          <w:rFonts w:ascii="Arial" w:hAnsi="Arial" w:cs="Arial"/>
          <w:sz w:val="28"/>
          <w:szCs w:val="28"/>
        </w:rPr>
        <w:t>o</w:t>
      </w:r>
      <w:r w:rsidR="00155874" w:rsidRPr="008F015A">
        <w:rPr>
          <w:rFonts w:ascii="Arial" w:hAnsi="Arial" w:cs="Arial"/>
          <w:sz w:val="28"/>
          <w:szCs w:val="28"/>
        </w:rPr>
        <w:t>pia digi</w:t>
      </w:r>
      <w:r w:rsidR="00C95341" w:rsidRPr="008F015A">
        <w:rPr>
          <w:rFonts w:ascii="Arial" w:hAnsi="Arial" w:cs="Arial"/>
          <w:sz w:val="28"/>
          <w:szCs w:val="28"/>
        </w:rPr>
        <w:t>talizada de la</w:t>
      </w:r>
      <w:r w:rsidR="008E4BA4" w:rsidRPr="008F015A">
        <w:rPr>
          <w:rFonts w:ascii="Arial" w:hAnsi="Arial" w:cs="Arial"/>
          <w:sz w:val="28"/>
          <w:szCs w:val="28"/>
        </w:rPr>
        <w:t>s</w:t>
      </w:r>
      <w:r w:rsidR="00C74F64" w:rsidRPr="008F015A">
        <w:rPr>
          <w:rFonts w:ascii="Arial" w:hAnsi="Arial" w:cs="Arial"/>
          <w:sz w:val="28"/>
          <w:szCs w:val="28"/>
        </w:rPr>
        <w:t xml:space="preserve"> </w:t>
      </w:r>
      <w:r w:rsidR="00C95341" w:rsidRPr="008F015A">
        <w:rPr>
          <w:rFonts w:ascii="Arial" w:hAnsi="Arial" w:cs="Arial"/>
          <w:b/>
          <w:sz w:val="28"/>
          <w:szCs w:val="28"/>
        </w:rPr>
        <w:t>sentencia</w:t>
      </w:r>
      <w:r w:rsidR="008E4BA4" w:rsidRPr="008F015A">
        <w:rPr>
          <w:rFonts w:ascii="Arial" w:hAnsi="Arial" w:cs="Arial"/>
          <w:b/>
          <w:sz w:val="28"/>
          <w:szCs w:val="28"/>
        </w:rPr>
        <w:t>s</w:t>
      </w:r>
      <w:r w:rsidR="00155874" w:rsidRPr="008F015A">
        <w:rPr>
          <w:rFonts w:ascii="Arial" w:hAnsi="Arial" w:cs="Arial"/>
          <w:b/>
          <w:sz w:val="28"/>
          <w:szCs w:val="28"/>
        </w:rPr>
        <w:t xml:space="preserve"> </w:t>
      </w:r>
      <w:r w:rsidR="008E4BA4" w:rsidRPr="008F015A">
        <w:rPr>
          <w:rFonts w:ascii="Arial" w:hAnsi="Arial" w:cs="Arial"/>
          <w:b/>
          <w:sz w:val="28"/>
          <w:szCs w:val="28"/>
        </w:rPr>
        <w:t>dictadas</w:t>
      </w:r>
      <w:r w:rsidR="008E4BA4" w:rsidRPr="00D35C56">
        <w:rPr>
          <w:rFonts w:ascii="Arial" w:hAnsi="Arial" w:cs="Arial"/>
          <w:b/>
          <w:sz w:val="28"/>
          <w:szCs w:val="28"/>
        </w:rPr>
        <w:t xml:space="preserve"> </w:t>
      </w:r>
      <w:r w:rsidR="00D35C56" w:rsidRPr="00D35C56">
        <w:rPr>
          <w:rFonts w:ascii="Arial" w:hAnsi="Arial" w:cs="Arial"/>
          <w:b/>
          <w:sz w:val="28"/>
          <w:szCs w:val="28"/>
        </w:rPr>
        <w:t xml:space="preserve">en segunda instancia de diversas causas penales que resultan </w:t>
      </w:r>
      <w:r w:rsidR="008E4BA4" w:rsidRPr="008F015A">
        <w:rPr>
          <w:rFonts w:ascii="Arial" w:hAnsi="Arial" w:cs="Arial"/>
          <w:b/>
          <w:sz w:val="28"/>
          <w:szCs w:val="28"/>
        </w:rPr>
        <w:t>en los tocas penales 1347/2002, 3733/2000, 574/2003, 0005/2001, 1862/2001 y 406/2002.</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AD2381" w:rsidP="008F1EE2">
      <w:pPr>
        <w:spacing w:after="0" w:line="360" w:lineRule="auto"/>
        <w:jc w:val="both"/>
        <w:rPr>
          <w:rFonts w:ascii="Arial" w:hAnsi="Arial" w:cs="Arial"/>
          <w:sz w:val="28"/>
          <w:szCs w:val="28"/>
        </w:rPr>
      </w:pPr>
      <w:r>
        <w:rPr>
          <w:rFonts w:ascii="Arial" w:hAnsi="Arial" w:cs="Arial"/>
          <w:sz w:val="28"/>
          <w:szCs w:val="28"/>
        </w:rPr>
        <w:lastRenderedPageBreak/>
        <w:t>B</w:t>
      </w:r>
      <w:r w:rsidR="00DC757E">
        <w:rPr>
          <w:rFonts w:ascii="Arial" w:hAnsi="Arial" w:cs="Arial"/>
          <w:sz w:val="28"/>
          <w:szCs w:val="28"/>
        </w:rPr>
        <w:t>) Con oficio</w:t>
      </w:r>
      <w:r w:rsidR="008F2B0F">
        <w:rPr>
          <w:rFonts w:ascii="Arial" w:hAnsi="Arial" w:cs="Arial"/>
          <w:sz w:val="28"/>
          <w:szCs w:val="28"/>
        </w:rPr>
        <w:t xml:space="preserve"> número </w:t>
      </w:r>
      <w:r w:rsidR="004D05C1">
        <w:rPr>
          <w:rFonts w:ascii="Arial" w:hAnsi="Arial" w:cs="Arial"/>
          <w:sz w:val="28"/>
          <w:szCs w:val="28"/>
        </w:rPr>
        <w:t>SGA/702/2017</w:t>
      </w:r>
      <w:r w:rsidR="00C96DE9">
        <w:rPr>
          <w:rFonts w:ascii="Arial" w:hAnsi="Arial" w:cs="Arial"/>
          <w:sz w:val="28"/>
          <w:szCs w:val="28"/>
        </w:rPr>
        <w:t>,</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4D05C1">
        <w:rPr>
          <w:rFonts w:ascii="Arial" w:hAnsi="Arial" w:cs="Arial"/>
          <w:sz w:val="28"/>
          <w:szCs w:val="28"/>
        </w:rPr>
        <w:t>tre</w:t>
      </w:r>
      <w:r w:rsidR="00C96DE9">
        <w:rPr>
          <w:rFonts w:ascii="Arial" w:hAnsi="Arial" w:cs="Arial"/>
          <w:sz w:val="28"/>
          <w:szCs w:val="28"/>
        </w:rPr>
        <w:t>ce</w:t>
      </w:r>
      <w:r w:rsidR="00575390">
        <w:rPr>
          <w:rFonts w:ascii="Arial" w:hAnsi="Arial" w:cs="Arial"/>
          <w:sz w:val="28"/>
          <w:szCs w:val="28"/>
        </w:rPr>
        <w:t xml:space="preserve"> de jul</w:t>
      </w:r>
      <w:r w:rsidR="00055B04" w:rsidRPr="00B50DFE">
        <w:rPr>
          <w:rFonts w:ascii="Arial" w:hAnsi="Arial" w:cs="Arial"/>
          <w:sz w:val="28"/>
          <w:szCs w:val="28"/>
        </w:rPr>
        <w:t>io del año que transcurre, l</w:t>
      </w:r>
      <w:r w:rsidR="00575390">
        <w:rPr>
          <w:rFonts w:ascii="Arial" w:hAnsi="Arial" w:cs="Arial"/>
          <w:sz w:val="28"/>
          <w:szCs w:val="28"/>
        </w:rPr>
        <w:t>a</w:t>
      </w:r>
      <w:r w:rsidR="008D4861" w:rsidRPr="00B50DFE">
        <w:rPr>
          <w:rFonts w:ascii="Arial" w:hAnsi="Arial" w:cs="Arial"/>
          <w:sz w:val="28"/>
          <w:szCs w:val="28"/>
        </w:rPr>
        <w:t xml:space="preserve"> </w:t>
      </w:r>
      <w:r w:rsidR="004D05C1">
        <w:rPr>
          <w:rFonts w:ascii="Arial" w:hAnsi="Arial" w:cs="Arial"/>
          <w:sz w:val="28"/>
          <w:szCs w:val="28"/>
        </w:rPr>
        <w:t>Secretaria General de Acuerdos</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4D05C1">
        <w:rPr>
          <w:rFonts w:ascii="Arial" w:hAnsi="Arial" w:cs="Arial"/>
          <w:sz w:val="28"/>
          <w:szCs w:val="28"/>
        </w:rPr>
        <w:t xml:space="preserve"> Tribunal Superior de Justica</w:t>
      </w:r>
      <w:r w:rsidR="00D32A3E">
        <w:rPr>
          <w:rFonts w:ascii="Arial" w:hAnsi="Arial" w:cs="Arial"/>
          <w:sz w:val="28"/>
          <w:szCs w:val="28"/>
        </w:rPr>
        <w:t xml:space="preserve"> </w:t>
      </w:r>
      <w:r w:rsidR="004D05C1">
        <w:rPr>
          <w:rFonts w:ascii="Arial" w:hAnsi="Arial" w:cs="Arial"/>
          <w:sz w:val="28"/>
          <w:szCs w:val="28"/>
        </w:rPr>
        <w:t>de</w:t>
      </w:r>
      <w:r w:rsidR="00F37251">
        <w:rPr>
          <w:rFonts w:ascii="Arial" w:hAnsi="Arial" w:cs="Arial"/>
          <w:sz w:val="28"/>
          <w:szCs w:val="28"/>
        </w:rPr>
        <w:t xml:space="preserve">l </w:t>
      </w:r>
      <w:r w:rsidR="00D32A3E">
        <w:rPr>
          <w:rFonts w:ascii="Arial" w:hAnsi="Arial" w:cs="Arial"/>
          <w:sz w:val="28"/>
          <w:szCs w:val="28"/>
        </w:rPr>
        <w:t>Estado de</w:t>
      </w:r>
      <w:r w:rsidR="00893573" w:rsidRPr="00B50DFE">
        <w:rPr>
          <w:rFonts w:ascii="Arial" w:hAnsi="Arial" w:cs="Arial"/>
          <w:sz w:val="28"/>
          <w:szCs w:val="28"/>
        </w:rPr>
        <w:t xml:space="preserve"> 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 xml:space="preserve">remitiendo </w:t>
      </w:r>
      <w:r w:rsidR="008E4BA4">
        <w:rPr>
          <w:rFonts w:ascii="Arial" w:hAnsi="Arial" w:cs="Arial"/>
          <w:sz w:val="28"/>
          <w:szCs w:val="28"/>
        </w:rPr>
        <w:t xml:space="preserve">las versiones públicas </w:t>
      </w:r>
      <w:r w:rsidR="007C7013">
        <w:rPr>
          <w:rFonts w:ascii="Arial" w:hAnsi="Arial" w:cs="Arial"/>
          <w:sz w:val="28"/>
          <w:szCs w:val="28"/>
        </w:rPr>
        <w:t>de</w:t>
      </w:r>
      <w:r w:rsidR="00F37251">
        <w:rPr>
          <w:rFonts w:ascii="Arial" w:hAnsi="Arial" w:cs="Arial"/>
          <w:sz w:val="28"/>
          <w:szCs w:val="28"/>
        </w:rPr>
        <w:t xml:space="preserve"> </w:t>
      </w:r>
      <w:r w:rsidR="007C7013">
        <w:rPr>
          <w:rFonts w:ascii="Arial" w:hAnsi="Arial" w:cs="Arial"/>
          <w:sz w:val="28"/>
          <w:szCs w:val="28"/>
        </w:rPr>
        <w:t>l</w:t>
      </w:r>
      <w:r w:rsidR="00F37251">
        <w:rPr>
          <w:rFonts w:ascii="Arial" w:hAnsi="Arial" w:cs="Arial"/>
          <w:sz w:val="28"/>
          <w:szCs w:val="28"/>
        </w:rPr>
        <w:t xml:space="preserve">as sentencias dictadas en segunda instancia dentro de </w:t>
      </w:r>
      <w:r w:rsidR="008E4BA4">
        <w:rPr>
          <w:rFonts w:ascii="Arial" w:hAnsi="Arial" w:cs="Arial"/>
          <w:sz w:val="28"/>
          <w:szCs w:val="28"/>
        </w:rPr>
        <w:t>los tocas reseñados anteriormente</w:t>
      </w:r>
      <w:r w:rsidR="002A7017">
        <w:rPr>
          <w:rFonts w:ascii="Arial" w:hAnsi="Arial" w:cs="Arial"/>
          <w:sz w:val="28"/>
          <w:szCs w:val="28"/>
        </w:rPr>
        <w:t xml:space="preserve">, en </w:t>
      </w:r>
      <w:r w:rsidR="00C2774D">
        <w:rPr>
          <w:rFonts w:ascii="Arial" w:hAnsi="Arial" w:cs="Arial"/>
          <w:sz w:val="28"/>
          <w:szCs w:val="28"/>
        </w:rPr>
        <w:t>la</w:t>
      </w:r>
      <w:r w:rsidR="00D32A3E">
        <w:rPr>
          <w:rFonts w:ascii="Arial" w:hAnsi="Arial" w:cs="Arial"/>
          <w:sz w:val="28"/>
          <w:szCs w:val="28"/>
        </w:rPr>
        <w:t>s</w:t>
      </w:r>
      <w:r w:rsidR="002A7017">
        <w:rPr>
          <w:rFonts w:ascii="Arial" w:hAnsi="Arial" w:cs="Arial"/>
          <w:sz w:val="28"/>
          <w:szCs w:val="28"/>
        </w:rPr>
        <w:t xml:space="preserve"> cual</w:t>
      </w:r>
      <w:r w:rsidR="00D32A3E">
        <w:rPr>
          <w:rFonts w:ascii="Arial" w:hAnsi="Arial" w:cs="Arial"/>
          <w:sz w:val="28"/>
          <w:szCs w:val="28"/>
        </w:rPr>
        <w:t>es</w:t>
      </w:r>
      <w:r w:rsidR="008F1EE2" w:rsidRPr="00B50DFE">
        <w:rPr>
          <w:rFonts w:ascii="Arial" w:hAnsi="Arial" w:cs="Arial"/>
          <w:sz w:val="28"/>
          <w:szCs w:val="28"/>
        </w:rPr>
        <w:t xml:space="preserve"> suprimi</w:t>
      </w:r>
      <w:r w:rsidR="00C2774D">
        <w:rPr>
          <w:rFonts w:ascii="Arial" w:hAnsi="Arial" w:cs="Arial"/>
          <w:sz w:val="28"/>
          <w:szCs w:val="28"/>
        </w:rPr>
        <w:t>ó</w:t>
      </w:r>
      <w:r w:rsidR="008F1EE2" w:rsidRPr="00B50DFE">
        <w:rPr>
          <w:rFonts w:ascii="Arial" w:hAnsi="Arial" w:cs="Arial"/>
          <w:sz w:val="28"/>
          <w:szCs w:val="28"/>
        </w:rPr>
        <w:t xml:space="preserve"> los datos que clasificó como confidenciales, cubriendo el espacio correspondient</w:t>
      </w:r>
      <w:r w:rsidR="00554516">
        <w:rPr>
          <w:rFonts w:ascii="Arial" w:hAnsi="Arial" w:cs="Arial"/>
          <w:sz w:val="28"/>
          <w:szCs w:val="28"/>
        </w:rPr>
        <w:t>e media</w:t>
      </w:r>
      <w:r w:rsidR="00C2774D">
        <w:rPr>
          <w:rFonts w:ascii="Arial" w:hAnsi="Arial" w:cs="Arial"/>
          <w:sz w:val="28"/>
          <w:szCs w:val="28"/>
        </w:rPr>
        <w:t>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3416E" w:rsidP="001C02C1">
      <w:pPr>
        <w:spacing w:after="0" w:line="360" w:lineRule="auto"/>
        <w:jc w:val="both"/>
        <w:rPr>
          <w:rFonts w:ascii="Arial" w:hAnsi="Arial" w:cs="Arial"/>
          <w:sz w:val="28"/>
          <w:szCs w:val="28"/>
        </w:rPr>
      </w:pPr>
      <w:r>
        <w:rPr>
          <w:rFonts w:ascii="Arial" w:hAnsi="Arial" w:cs="Arial"/>
          <w:sz w:val="28"/>
          <w:szCs w:val="28"/>
        </w:rPr>
        <w:t>C</w:t>
      </w:r>
      <w:r w:rsidR="008F1EE2" w:rsidRPr="00B50DFE">
        <w:rPr>
          <w:rFonts w:ascii="Arial" w:hAnsi="Arial" w:cs="Arial"/>
          <w:sz w:val="28"/>
          <w:szCs w:val="28"/>
        </w:rPr>
        <w:t xml:space="preserve">) </w:t>
      </w:r>
      <w:r w:rsidR="009151EF" w:rsidRPr="00C16D3B">
        <w:rPr>
          <w:rFonts w:ascii="Arial" w:hAnsi="Arial" w:cs="Arial"/>
          <w:b/>
          <w:sz w:val="28"/>
          <w:szCs w:val="28"/>
        </w:rPr>
        <w:t>Recibida</w:t>
      </w:r>
      <w:r w:rsidR="00D32A3E">
        <w:rPr>
          <w:rFonts w:ascii="Arial" w:hAnsi="Arial" w:cs="Arial"/>
          <w:b/>
          <w:sz w:val="28"/>
          <w:szCs w:val="28"/>
        </w:rPr>
        <w:t>s</w:t>
      </w:r>
      <w:r w:rsidR="009151EF" w:rsidRPr="00C16D3B">
        <w:rPr>
          <w:rFonts w:ascii="Arial" w:hAnsi="Arial" w:cs="Arial"/>
          <w:b/>
          <w:sz w:val="28"/>
          <w:szCs w:val="28"/>
        </w:rPr>
        <w:t xml:space="preserve"> la</w:t>
      </w:r>
      <w:r w:rsidR="00D32A3E">
        <w:rPr>
          <w:rFonts w:ascii="Arial" w:hAnsi="Arial" w:cs="Arial"/>
          <w:b/>
          <w:sz w:val="28"/>
          <w:szCs w:val="28"/>
        </w:rPr>
        <w:t>s</w:t>
      </w:r>
      <w:r w:rsidR="00C017BE" w:rsidRPr="00C16D3B">
        <w:rPr>
          <w:rFonts w:ascii="Arial" w:hAnsi="Arial" w:cs="Arial"/>
          <w:b/>
          <w:sz w:val="28"/>
          <w:szCs w:val="28"/>
        </w:rPr>
        <w:t xml:space="preserve"> </w:t>
      </w:r>
      <w:r w:rsidR="00D32A3E">
        <w:rPr>
          <w:rFonts w:ascii="Arial" w:hAnsi="Arial" w:cs="Arial"/>
          <w:b/>
          <w:sz w:val="28"/>
          <w:szCs w:val="28"/>
        </w:rPr>
        <w:t>versio</w:t>
      </w:r>
      <w:r w:rsidR="005D6029" w:rsidRPr="00C16D3B">
        <w:rPr>
          <w:rFonts w:ascii="Arial" w:hAnsi="Arial" w:cs="Arial"/>
          <w:b/>
          <w:sz w:val="28"/>
          <w:szCs w:val="28"/>
        </w:rPr>
        <w:t>n</w:t>
      </w:r>
      <w:r w:rsidR="00D32A3E">
        <w:rPr>
          <w:rFonts w:ascii="Arial" w:hAnsi="Arial" w:cs="Arial"/>
          <w:b/>
          <w:sz w:val="28"/>
          <w:szCs w:val="28"/>
        </w:rPr>
        <w:t>es</w:t>
      </w:r>
      <w:r w:rsidR="005D6029">
        <w:rPr>
          <w:rFonts w:ascii="Arial" w:hAnsi="Arial" w:cs="Arial"/>
          <w:b/>
          <w:sz w:val="28"/>
          <w:szCs w:val="28"/>
        </w:rPr>
        <w:t xml:space="preserve"> pública</w:t>
      </w:r>
      <w:r w:rsidR="00D32A3E">
        <w:rPr>
          <w:rFonts w:ascii="Arial" w:hAnsi="Arial" w:cs="Arial"/>
          <w:b/>
          <w:sz w:val="28"/>
          <w:szCs w:val="28"/>
        </w:rPr>
        <w:t>s</w:t>
      </w:r>
      <w:r w:rsidR="005D6029">
        <w:rPr>
          <w:rFonts w:ascii="Arial" w:hAnsi="Arial" w:cs="Arial"/>
          <w:b/>
          <w:sz w:val="28"/>
          <w:szCs w:val="28"/>
        </w:rPr>
        <w:t xml:space="preserve"> </w:t>
      </w:r>
      <w:r w:rsidR="008E4BA4" w:rsidRPr="008E4BA4">
        <w:rPr>
          <w:rFonts w:ascii="Arial" w:hAnsi="Arial" w:cs="Arial"/>
          <w:sz w:val="28"/>
          <w:szCs w:val="28"/>
        </w:rPr>
        <w:t>mencionadas</w:t>
      </w:r>
      <w:r w:rsidR="00893573" w:rsidRPr="008E4BA4">
        <w:rPr>
          <w:rFonts w:ascii="Arial" w:hAnsi="Arial" w:cs="Arial"/>
          <w:sz w:val="28"/>
          <w:szCs w:val="28"/>
        </w:rPr>
        <w:t>,</w:t>
      </w:r>
      <w:r w:rsidR="00544630" w:rsidRPr="008E4BA4">
        <w:rPr>
          <w:rFonts w:ascii="Arial" w:hAnsi="Arial" w:cs="Arial"/>
          <w:sz w:val="28"/>
          <w:szCs w:val="28"/>
        </w:rPr>
        <w:t xml:space="preserve"> </w:t>
      </w:r>
      <w:r w:rsidR="009151EF" w:rsidRPr="008E4BA4">
        <w:rPr>
          <w:rFonts w:ascii="Arial" w:hAnsi="Arial" w:cs="Arial"/>
          <w:sz w:val="28"/>
          <w:szCs w:val="28"/>
        </w:rPr>
        <w:t>la</w:t>
      </w:r>
      <w:r w:rsidR="009151EF" w:rsidRPr="00B50DFE">
        <w:rPr>
          <w:rFonts w:ascii="Arial" w:hAnsi="Arial" w:cs="Arial"/>
          <w:sz w:val="28"/>
          <w:szCs w:val="28"/>
        </w:rPr>
        <w:t xml:space="preserve">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73416E">
        <w:rPr>
          <w:rFonts w:ascii="Arial" w:hAnsi="Arial" w:cs="Arial"/>
          <w:b/>
          <w:sz w:val="28"/>
          <w:szCs w:val="28"/>
        </w:rPr>
        <w:t>De las versiones públicas elaboradas</w:t>
      </w:r>
      <w:r w:rsidR="00EC4A52">
        <w:rPr>
          <w:rFonts w:ascii="Arial" w:hAnsi="Arial" w:cs="Arial"/>
          <w:b/>
          <w:sz w:val="28"/>
          <w:szCs w:val="28"/>
        </w:rPr>
        <w:t xml:space="preserve">: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w:t>
      </w:r>
      <w:r w:rsidR="001C02C1" w:rsidRPr="00B50DFE">
        <w:rPr>
          <w:rFonts w:ascii="Arial" w:hAnsi="Arial" w:cs="Arial"/>
          <w:sz w:val="28"/>
          <w:szCs w:val="28"/>
        </w:rPr>
        <w:lastRenderedPageBreak/>
        <w:t xml:space="preserve">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4A65C2">
        <w:rPr>
          <w:rFonts w:ascii="Arial" w:hAnsi="Arial" w:cs="Arial"/>
          <w:b/>
          <w:sz w:val="28"/>
          <w:szCs w:val="28"/>
        </w:rPr>
        <w:t xml:space="preserve">la </w:t>
      </w:r>
      <w:r w:rsidR="008C14AD" w:rsidRPr="00B50DFE">
        <w:rPr>
          <w:rFonts w:ascii="Arial" w:hAnsi="Arial" w:cs="Arial"/>
          <w:b/>
          <w:sz w:val="28"/>
          <w:szCs w:val="28"/>
        </w:rPr>
        <w:t xml:space="preserve">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230FE9" w:rsidRDefault="009C76A3" w:rsidP="008C14AD">
      <w:pPr>
        <w:spacing w:after="0" w:line="360" w:lineRule="auto"/>
        <w:jc w:val="both"/>
        <w:rPr>
          <w:rFonts w:ascii="Arial" w:hAnsi="Arial" w:cs="Arial"/>
          <w:sz w:val="14"/>
          <w:szCs w:val="28"/>
        </w:rPr>
      </w:pPr>
    </w:p>
    <w:p w:rsidR="008C14AD" w:rsidRPr="0073416E" w:rsidRDefault="009C76A3" w:rsidP="0073416E">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lastRenderedPageBreak/>
        <w:t>2</w:t>
      </w:r>
      <w:r w:rsidR="00545BE7" w:rsidRPr="00B50DFE">
        <w:rPr>
          <w:rFonts w:ascii="Arial" w:hAnsi="Arial" w:cs="Arial"/>
          <w:sz w:val="28"/>
          <w:szCs w:val="28"/>
        </w:rPr>
        <w:t xml:space="preserve">.1) </w:t>
      </w:r>
      <w:r w:rsidR="00161BA2" w:rsidRPr="00B50DFE">
        <w:rPr>
          <w:rFonts w:ascii="Arial" w:hAnsi="Arial" w:cs="Arial"/>
          <w:b/>
          <w:sz w:val="28"/>
          <w:szCs w:val="28"/>
        </w:rPr>
        <w:t>La</w:t>
      </w:r>
      <w:r w:rsidR="00D35C56">
        <w:rPr>
          <w:rFonts w:ascii="Arial" w:hAnsi="Arial" w:cs="Arial"/>
          <w:b/>
          <w:sz w:val="28"/>
          <w:szCs w:val="28"/>
        </w:rPr>
        <w:t>s</w:t>
      </w:r>
      <w:r w:rsidR="00161BA2" w:rsidRPr="00B50DFE">
        <w:rPr>
          <w:rFonts w:ascii="Arial" w:hAnsi="Arial" w:cs="Arial"/>
          <w:b/>
          <w:sz w:val="28"/>
          <w:szCs w:val="28"/>
        </w:rPr>
        <w:t xml:space="preserve"> ver</w:t>
      </w:r>
      <w:r w:rsidR="0072519E">
        <w:rPr>
          <w:rFonts w:ascii="Arial" w:hAnsi="Arial" w:cs="Arial"/>
          <w:b/>
          <w:sz w:val="28"/>
          <w:szCs w:val="28"/>
        </w:rPr>
        <w:t>sio</w:t>
      </w:r>
      <w:r w:rsidR="00161BA2" w:rsidRPr="00B50DFE">
        <w:rPr>
          <w:rFonts w:ascii="Arial" w:hAnsi="Arial" w:cs="Arial"/>
          <w:b/>
          <w:sz w:val="28"/>
          <w:szCs w:val="28"/>
        </w:rPr>
        <w:t>n</w:t>
      </w:r>
      <w:r w:rsidR="0072519E">
        <w:rPr>
          <w:rFonts w:ascii="Arial" w:hAnsi="Arial" w:cs="Arial"/>
          <w:b/>
          <w:sz w:val="28"/>
          <w:szCs w:val="28"/>
        </w:rPr>
        <w:t>es</w:t>
      </w:r>
      <w:r w:rsidR="00161BA2" w:rsidRPr="00B50DFE">
        <w:rPr>
          <w:rFonts w:ascii="Arial" w:hAnsi="Arial" w:cs="Arial"/>
          <w:b/>
          <w:sz w:val="28"/>
          <w:szCs w:val="28"/>
        </w:rPr>
        <w:t xml:space="preserve"> pública</w:t>
      </w:r>
      <w:r w:rsidR="0072519E">
        <w:rPr>
          <w:rFonts w:ascii="Arial" w:hAnsi="Arial" w:cs="Arial"/>
          <w:b/>
          <w:sz w:val="28"/>
          <w:szCs w:val="28"/>
        </w:rPr>
        <w:t>s</w:t>
      </w:r>
      <w:r w:rsidR="007A5452">
        <w:rPr>
          <w:rFonts w:ascii="Arial" w:hAnsi="Arial" w:cs="Arial"/>
          <w:b/>
          <w:sz w:val="28"/>
          <w:szCs w:val="28"/>
        </w:rPr>
        <w:t xml:space="preserve"> </w:t>
      </w:r>
      <w:r w:rsidR="002E27BE">
        <w:rPr>
          <w:rFonts w:ascii="Arial" w:hAnsi="Arial" w:cs="Arial"/>
          <w:b/>
          <w:sz w:val="28"/>
          <w:szCs w:val="28"/>
        </w:rPr>
        <w:t>de mérito, fue</w:t>
      </w:r>
      <w:r w:rsidR="0072519E">
        <w:rPr>
          <w:rFonts w:ascii="Arial" w:hAnsi="Arial" w:cs="Arial"/>
          <w:b/>
          <w:sz w:val="28"/>
          <w:szCs w:val="28"/>
        </w:rPr>
        <w:t>ron</w:t>
      </w:r>
      <w:r w:rsidR="00161BA2" w:rsidRPr="00B50DFE">
        <w:rPr>
          <w:rFonts w:ascii="Arial" w:hAnsi="Arial" w:cs="Arial"/>
          <w:b/>
          <w:sz w:val="28"/>
          <w:szCs w:val="28"/>
        </w:rPr>
        <w:t xml:space="preserve"> elaborada</w:t>
      </w:r>
      <w:r w:rsidR="0072519E">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230FE9" w:rsidRDefault="00161BA2" w:rsidP="00161BA2">
      <w:pPr>
        <w:spacing w:after="0" w:line="360" w:lineRule="auto"/>
        <w:ind w:firstLine="567"/>
        <w:jc w:val="both"/>
        <w:rPr>
          <w:rFonts w:ascii="Arial" w:hAnsi="Arial" w:cs="Arial"/>
          <w:sz w:val="20"/>
          <w:szCs w:val="28"/>
        </w:rPr>
      </w:pPr>
    </w:p>
    <w:p w:rsidR="00545BE7"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464487">
        <w:rPr>
          <w:rFonts w:ascii="Arial" w:hAnsi="Arial" w:cs="Arial"/>
          <w:sz w:val="28"/>
          <w:szCs w:val="28"/>
        </w:rPr>
        <w:t>De</w:t>
      </w:r>
      <w:r w:rsidR="00827141">
        <w:rPr>
          <w:rFonts w:ascii="Arial" w:hAnsi="Arial" w:cs="Arial"/>
          <w:sz w:val="28"/>
          <w:szCs w:val="28"/>
        </w:rPr>
        <w:t xml:space="preserve"> </w:t>
      </w:r>
      <w:r w:rsidR="00464487">
        <w:rPr>
          <w:rFonts w:ascii="Arial" w:hAnsi="Arial" w:cs="Arial"/>
          <w:sz w:val="28"/>
          <w:szCs w:val="28"/>
        </w:rPr>
        <w:t>l</w:t>
      </w:r>
      <w:r w:rsidR="00827141">
        <w:rPr>
          <w:rFonts w:ascii="Arial" w:hAnsi="Arial" w:cs="Arial"/>
          <w:sz w:val="28"/>
          <w:szCs w:val="28"/>
        </w:rPr>
        <w:t>os</w:t>
      </w:r>
      <w:r w:rsidR="00545BE7" w:rsidRPr="00B50DFE">
        <w:rPr>
          <w:rFonts w:ascii="Arial" w:hAnsi="Arial" w:cs="Arial"/>
          <w:sz w:val="28"/>
          <w:szCs w:val="28"/>
        </w:rPr>
        <w:t xml:space="preserve"> propio</w:t>
      </w:r>
      <w:r w:rsidR="00827141">
        <w:rPr>
          <w:rFonts w:ascii="Arial" w:hAnsi="Arial" w:cs="Arial"/>
          <w:sz w:val="28"/>
          <w:szCs w:val="28"/>
        </w:rPr>
        <w:t>s</w:t>
      </w:r>
      <w:r w:rsidR="00545BE7" w:rsidRPr="00B50DFE">
        <w:rPr>
          <w:rFonts w:ascii="Arial" w:hAnsi="Arial" w:cs="Arial"/>
          <w:sz w:val="28"/>
          <w:szCs w:val="28"/>
        </w:rPr>
        <w:t xml:space="preserve"> documento</w:t>
      </w:r>
      <w:r w:rsidR="00827141">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954299">
        <w:rPr>
          <w:rFonts w:ascii="Arial" w:hAnsi="Arial" w:cs="Arial"/>
          <w:sz w:val="28"/>
          <w:szCs w:val="28"/>
        </w:rPr>
        <w:t xml:space="preserve">que intervienen en </w:t>
      </w:r>
      <w:r w:rsidR="00ED1D9B">
        <w:rPr>
          <w:rFonts w:ascii="Arial" w:hAnsi="Arial" w:cs="Arial"/>
          <w:sz w:val="28"/>
          <w:szCs w:val="28"/>
        </w:rPr>
        <w:t>l</w:t>
      </w:r>
      <w:r w:rsidR="00954299">
        <w:rPr>
          <w:rFonts w:ascii="Arial" w:hAnsi="Arial" w:cs="Arial"/>
          <w:sz w:val="28"/>
          <w:szCs w:val="28"/>
        </w:rPr>
        <w:t>as Causas Penales enunciadas</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8F015A" w:rsidRPr="008F015A" w:rsidRDefault="008F015A" w:rsidP="008F015A">
      <w:pPr>
        <w:spacing w:after="0" w:line="360" w:lineRule="auto"/>
        <w:ind w:firstLine="567"/>
        <w:jc w:val="both"/>
        <w:rPr>
          <w:rFonts w:ascii="Arial" w:hAnsi="Arial" w:cs="Arial"/>
          <w:sz w:val="20"/>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w:t>
      </w:r>
      <w:r w:rsidR="007C7013">
        <w:rPr>
          <w:rFonts w:ascii="Arial" w:hAnsi="Arial" w:cs="Arial"/>
          <w:b/>
          <w:sz w:val="28"/>
          <w:szCs w:val="28"/>
        </w:rPr>
        <w:t xml:space="preserve">de la </w:t>
      </w:r>
      <w:r w:rsidR="00161BA2" w:rsidRPr="00B50DFE">
        <w:rPr>
          <w:rFonts w:ascii="Arial" w:hAnsi="Arial" w:cs="Arial"/>
          <w:b/>
          <w:sz w:val="28"/>
          <w:szCs w:val="28"/>
        </w:rPr>
        <w:t xml:space="preserve">normativa reseñada, </w:t>
      </w:r>
      <w:r w:rsidR="0003664C">
        <w:rPr>
          <w:rFonts w:ascii="Arial" w:hAnsi="Arial" w:cs="Arial"/>
          <w:b/>
          <w:sz w:val="28"/>
          <w:szCs w:val="28"/>
        </w:rPr>
        <w:t>en la elaboración de la</w:t>
      </w:r>
      <w:r w:rsidR="00954299">
        <w:rPr>
          <w:rFonts w:ascii="Arial" w:hAnsi="Arial" w:cs="Arial"/>
          <w:b/>
          <w:sz w:val="28"/>
          <w:szCs w:val="28"/>
        </w:rPr>
        <w:t>s versio</w:t>
      </w:r>
      <w:r w:rsidR="0003664C">
        <w:rPr>
          <w:rFonts w:ascii="Arial" w:hAnsi="Arial" w:cs="Arial"/>
          <w:b/>
          <w:sz w:val="28"/>
          <w:szCs w:val="28"/>
        </w:rPr>
        <w:t>n</w:t>
      </w:r>
      <w:r w:rsidR="00954299">
        <w:rPr>
          <w:rFonts w:ascii="Arial" w:hAnsi="Arial" w:cs="Arial"/>
          <w:b/>
          <w:sz w:val="28"/>
          <w:szCs w:val="28"/>
        </w:rPr>
        <w:t>es</w:t>
      </w:r>
      <w:r w:rsidR="0003664C">
        <w:rPr>
          <w:rFonts w:ascii="Arial" w:hAnsi="Arial" w:cs="Arial"/>
          <w:b/>
          <w:sz w:val="28"/>
          <w:szCs w:val="28"/>
        </w:rPr>
        <w:t xml:space="preserve"> pública</w:t>
      </w:r>
      <w:r w:rsidR="00954299">
        <w:rPr>
          <w:rFonts w:ascii="Arial" w:hAnsi="Arial" w:cs="Arial"/>
          <w:b/>
          <w:sz w:val="28"/>
          <w:szCs w:val="28"/>
        </w:rPr>
        <w:t>s</w:t>
      </w:r>
      <w:r w:rsidR="0003664C">
        <w:rPr>
          <w:rFonts w:ascii="Arial" w:hAnsi="Arial" w:cs="Arial"/>
          <w:b/>
          <w:sz w:val="28"/>
          <w:szCs w:val="28"/>
        </w:rPr>
        <w:t xml:space="preserve">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ticulares q</w:t>
      </w:r>
      <w:r w:rsidR="00B17660">
        <w:rPr>
          <w:rFonts w:ascii="Arial" w:hAnsi="Arial" w:cs="Arial"/>
          <w:sz w:val="28"/>
          <w:szCs w:val="28"/>
        </w:rPr>
        <w:t xml:space="preserve">ue intervienen en </w:t>
      </w:r>
      <w:r w:rsidR="00ED1D9B">
        <w:rPr>
          <w:rFonts w:ascii="Arial" w:hAnsi="Arial" w:cs="Arial"/>
          <w:sz w:val="28"/>
          <w:szCs w:val="28"/>
        </w:rPr>
        <w:t>l</w:t>
      </w:r>
      <w:r w:rsidR="00954299">
        <w:rPr>
          <w:rFonts w:ascii="Arial" w:hAnsi="Arial" w:cs="Arial"/>
          <w:sz w:val="28"/>
          <w:szCs w:val="28"/>
        </w:rPr>
        <w:t>as</w:t>
      </w:r>
      <w:r w:rsidR="00B17660">
        <w:rPr>
          <w:rFonts w:ascii="Arial" w:hAnsi="Arial" w:cs="Arial"/>
          <w:sz w:val="28"/>
          <w:szCs w:val="28"/>
        </w:rPr>
        <w:t xml:space="preserve"> </w:t>
      </w:r>
      <w:r w:rsidR="00AE2FFA">
        <w:rPr>
          <w:rFonts w:ascii="Arial" w:hAnsi="Arial" w:cs="Arial"/>
          <w:sz w:val="28"/>
          <w:szCs w:val="28"/>
        </w:rPr>
        <w:t>Causas Penales</w:t>
      </w:r>
      <w:r w:rsidR="00161BA2" w:rsidRPr="00B50DFE">
        <w:rPr>
          <w:rFonts w:ascii="Arial" w:hAnsi="Arial" w:cs="Arial"/>
          <w:sz w:val="28"/>
          <w:szCs w:val="28"/>
        </w:rPr>
        <w:t xml:space="preserve">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 xml:space="preserve">como reservada o confidencial, dispuesta por la Ley </w:t>
      </w:r>
      <w:r w:rsidR="0003664C" w:rsidRPr="00B50DFE">
        <w:rPr>
          <w:rFonts w:ascii="Arial" w:hAnsi="Arial" w:cs="Arial"/>
          <w:sz w:val="28"/>
          <w:szCs w:val="28"/>
        </w:rPr>
        <w:lastRenderedPageBreak/>
        <w:t>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AE2FFA">
        <w:rPr>
          <w:rFonts w:ascii="Arial" w:hAnsi="Arial" w:cs="Arial"/>
          <w:sz w:val="28"/>
          <w:szCs w:val="28"/>
        </w:rPr>
        <w:t>ombres de los sentenciados, acusados, marca, color, modelo, placas de circulación y número de serie de los vehículos, nombre</w:t>
      </w:r>
      <w:r w:rsidR="008F015A">
        <w:rPr>
          <w:rFonts w:ascii="Arial" w:hAnsi="Arial" w:cs="Arial"/>
          <w:sz w:val="28"/>
          <w:szCs w:val="28"/>
        </w:rPr>
        <w:t>s</w:t>
      </w:r>
      <w:r w:rsidR="00AE2FFA">
        <w:rPr>
          <w:rFonts w:ascii="Arial" w:hAnsi="Arial" w:cs="Arial"/>
          <w:sz w:val="28"/>
          <w:szCs w:val="28"/>
        </w:rPr>
        <w:t xml:space="preserve"> de los ofendidos, domicilios, </w:t>
      </w:r>
      <w:r w:rsidR="00525F80">
        <w:rPr>
          <w:rFonts w:ascii="Arial" w:hAnsi="Arial" w:cs="Arial"/>
          <w:sz w:val="28"/>
          <w:szCs w:val="28"/>
        </w:rPr>
        <w:t>apodos, ali</w:t>
      </w:r>
      <w:r w:rsidR="00AE2FFA">
        <w:rPr>
          <w:rFonts w:ascii="Arial" w:hAnsi="Arial" w:cs="Arial"/>
          <w:sz w:val="28"/>
          <w:szCs w:val="28"/>
        </w:rPr>
        <w:t>as, estado civil, origen, instrucción, religión, ocupación, ingresos, nombre</w:t>
      </w:r>
      <w:r w:rsidR="008F015A">
        <w:rPr>
          <w:rFonts w:ascii="Arial" w:hAnsi="Arial" w:cs="Arial"/>
          <w:sz w:val="28"/>
          <w:szCs w:val="28"/>
        </w:rPr>
        <w:t>s</w:t>
      </w:r>
      <w:r w:rsidR="00AE2FFA">
        <w:rPr>
          <w:rFonts w:ascii="Arial" w:hAnsi="Arial" w:cs="Arial"/>
          <w:sz w:val="28"/>
          <w:szCs w:val="28"/>
        </w:rPr>
        <w:t xml:space="preserve"> de los familiares, número de credencial de elector</w:t>
      </w:r>
      <w:r w:rsidR="009C76A3">
        <w:rPr>
          <w:rFonts w:ascii="Arial" w:hAnsi="Arial" w:cs="Arial"/>
          <w:sz w:val="28"/>
          <w:szCs w:val="28"/>
        </w:rPr>
        <w:t xml:space="preserve">,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w:t>
      </w:r>
      <w:r w:rsidR="00D35C56">
        <w:rPr>
          <w:rFonts w:ascii="Arial" w:hAnsi="Arial" w:cs="Arial"/>
          <w:i/>
          <w:sz w:val="28"/>
          <w:szCs w:val="28"/>
        </w:rPr>
        <w:t>;</w:t>
      </w:r>
      <w:r w:rsidR="008C14AD" w:rsidRPr="00B50DFE">
        <w:rPr>
          <w:rFonts w:ascii="Arial" w:hAnsi="Arial" w:cs="Arial"/>
          <w:i/>
          <w:sz w:val="28"/>
          <w:szCs w:val="28"/>
        </w:rPr>
        <w:t xml:space="preserve">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w:t>
      </w:r>
      <w:r w:rsidR="008C14AD" w:rsidRPr="00B50DFE">
        <w:rPr>
          <w:rFonts w:ascii="Arial" w:hAnsi="Arial" w:cs="Arial"/>
          <w:i/>
          <w:sz w:val="28"/>
          <w:szCs w:val="28"/>
        </w:rPr>
        <w:lastRenderedPageBreak/>
        <w:t xml:space="preserve">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w:t>
      </w:r>
      <w:r w:rsidR="008F015A">
        <w:rPr>
          <w:rFonts w:ascii="Arial" w:hAnsi="Arial" w:cs="Arial"/>
          <w:i/>
          <w:sz w:val="28"/>
          <w:szCs w:val="28"/>
        </w:rPr>
        <w:t xml:space="preserve"> </w:t>
      </w:r>
      <w:r w:rsidR="008C14AD" w:rsidRPr="00B50DFE">
        <w:rPr>
          <w:rFonts w:ascii="Arial" w:hAnsi="Arial" w:cs="Arial"/>
          <w:i/>
          <w:sz w:val="28"/>
          <w:szCs w:val="28"/>
        </w:rPr>
        <w:t xml:space="preserve">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Pr="00230FE9"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lastRenderedPageBreak/>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230FE9"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I. La divulgación de la información representa un riesgo real, demostrable e identificable de perjuicio significativo al</w:t>
      </w:r>
      <w:r w:rsidR="001C02C1" w:rsidRPr="00B50DFE">
        <w:rPr>
          <w:rFonts w:ascii="Arial" w:hAnsi="Arial" w:cs="Arial"/>
          <w:sz w:val="28"/>
          <w:szCs w:val="28"/>
        </w:rPr>
        <w:t xml:space="preserve"> </w:t>
      </w:r>
      <w:r w:rsidR="001C02C1" w:rsidRPr="00B50DFE">
        <w:rPr>
          <w:rFonts w:ascii="Arial" w:hAnsi="Arial" w:cs="Arial"/>
          <w:sz w:val="28"/>
          <w:szCs w:val="28"/>
        </w:rPr>
        <w:lastRenderedPageBreak/>
        <w:t xml:space="preserve">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las causas penales</w:t>
      </w:r>
      <w:r w:rsidR="00B35F03" w:rsidRPr="00B50DFE">
        <w:rPr>
          <w:rFonts w:ascii="Arial" w:hAnsi="Arial" w:cs="Arial"/>
          <w:sz w:val="28"/>
          <w:szCs w:val="28"/>
        </w:rPr>
        <w:t xml:space="preserve"> </w:t>
      </w:r>
      <w:r w:rsidR="00AF4D79">
        <w:rPr>
          <w:rFonts w:ascii="Arial" w:hAnsi="Arial" w:cs="Arial"/>
          <w:sz w:val="28"/>
          <w:szCs w:val="28"/>
        </w:rPr>
        <w:t xml:space="preserve">de interés para </w:t>
      </w:r>
      <w:r w:rsidR="00AF5A95" w:rsidRPr="00B50DFE">
        <w:rPr>
          <w:rFonts w:ascii="Arial" w:hAnsi="Arial" w:cs="Arial"/>
          <w:sz w:val="28"/>
          <w:szCs w:val="28"/>
        </w:rPr>
        <w:t>l</w:t>
      </w:r>
      <w:r w:rsidR="00AF4D79">
        <w:rPr>
          <w:rFonts w:ascii="Arial" w:hAnsi="Arial" w:cs="Arial"/>
          <w:sz w:val="28"/>
          <w:szCs w:val="28"/>
        </w:rPr>
        <w:t>os</w:t>
      </w:r>
      <w:r w:rsidR="00AF5A95" w:rsidRPr="00B50DFE">
        <w:rPr>
          <w:rFonts w:ascii="Arial" w:hAnsi="Arial" w:cs="Arial"/>
          <w:sz w:val="28"/>
          <w:szCs w:val="28"/>
        </w:rPr>
        <w:t xml:space="preserve"> solicitante</w:t>
      </w:r>
      <w:r w:rsidR="00AF4D79" w:rsidRPr="00FA34DA">
        <w:rPr>
          <w:rFonts w:ascii="Arial" w:hAnsi="Arial" w:cs="Arial"/>
          <w:sz w:val="28"/>
          <w:szCs w:val="28"/>
        </w:rPr>
        <w:t>s</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w:t>
      </w:r>
      <w:r w:rsidR="001C02C1" w:rsidRPr="00D35C56">
        <w:rPr>
          <w:rFonts w:ascii="Arial" w:hAnsi="Arial" w:cs="Arial"/>
          <w:b/>
          <w:sz w:val="28"/>
          <w:szCs w:val="28"/>
        </w:rPr>
        <w:t xml:space="preserve">pues </w:t>
      </w:r>
      <w:r w:rsidR="001C02C1" w:rsidRPr="00D35C56">
        <w:rPr>
          <w:rFonts w:ascii="Arial" w:hAnsi="Arial" w:cs="Arial"/>
          <w:sz w:val="28"/>
          <w:szCs w:val="28"/>
        </w:rPr>
        <w:t>frente al marco constitucional vigente,</w:t>
      </w:r>
      <w:r w:rsidR="001C02C1" w:rsidRPr="00D35C56">
        <w:rPr>
          <w:rFonts w:ascii="Arial" w:hAnsi="Arial" w:cs="Arial"/>
          <w:b/>
          <w:sz w:val="28"/>
          <w:szCs w:val="28"/>
        </w:rPr>
        <w:t xml:space="preserve"> en términos del </w:t>
      </w:r>
      <w:r w:rsidR="00315865" w:rsidRPr="00D35C56">
        <w:rPr>
          <w:rFonts w:ascii="Arial" w:hAnsi="Arial" w:cs="Arial"/>
          <w:b/>
          <w:sz w:val="28"/>
          <w:szCs w:val="28"/>
        </w:rPr>
        <w:t>a</w:t>
      </w:r>
      <w:r w:rsidR="001C02C1" w:rsidRPr="00D35C56">
        <w:rPr>
          <w:rFonts w:ascii="Arial" w:hAnsi="Arial" w:cs="Arial"/>
          <w:b/>
          <w:sz w:val="28"/>
          <w:szCs w:val="28"/>
        </w:rPr>
        <w:t>rt</w:t>
      </w:r>
      <w:r w:rsidR="000F6470" w:rsidRPr="00D35C56">
        <w:rPr>
          <w:rFonts w:ascii="Arial" w:hAnsi="Arial" w:cs="Arial"/>
          <w:b/>
          <w:sz w:val="28"/>
          <w:szCs w:val="28"/>
        </w:rPr>
        <w:t>ículo 1</w:t>
      </w:r>
      <w:r w:rsidR="00315865" w:rsidRPr="00D35C56">
        <w:rPr>
          <w:rFonts w:ascii="Arial" w:hAnsi="Arial" w:cs="Arial"/>
          <w:b/>
          <w:sz w:val="28"/>
          <w:szCs w:val="28"/>
          <w:vertAlign w:val="superscript"/>
        </w:rPr>
        <w:t>ro</w:t>
      </w:r>
      <w:r w:rsidR="000F6470" w:rsidRPr="00D35C56">
        <w:rPr>
          <w:rFonts w:ascii="Arial" w:hAnsi="Arial" w:cs="Arial"/>
          <w:b/>
          <w:sz w:val="28"/>
          <w:szCs w:val="28"/>
        </w:rPr>
        <w:t xml:space="preserve"> d</w:t>
      </w:r>
      <w:r w:rsidR="001C02C1" w:rsidRPr="00D35C56">
        <w:rPr>
          <w:rFonts w:ascii="Arial" w:hAnsi="Arial" w:cs="Arial"/>
          <w:b/>
          <w:sz w:val="28"/>
          <w:szCs w:val="28"/>
        </w:rPr>
        <w:t xml:space="preserve">e la Constitución </w:t>
      </w:r>
      <w:r w:rsidR="00A64FFC" w:rsidRPr="00D35C56">
        <w:rPr>
          <w:rFonts w:ascii="Arial" w:hAnsi="Arial" w:cs="Arial"/>
          <w:sz w:val="28"/>
          <w:szCs w:val="28"/>
        </w:rPr>
        <w:t>Política de los Estados Unidos Mexicanos,</w:t>
      </w:r>
      <w:r w:rsidR="00A64FFC" w:rsidRPr="00D35C56">
        <w:rPr>
          <w:rFonts w:ascii="Arial" w:hAnsi="Arial" w:cs="Arial"/>
          <w:b/>
          <w:sz w:val="28"/>
          <w:szCs w:val="28"/>
        </w:rPr>
        <w:t xml:space="preserve"> </w:t>
      </w:r>
      <w:r w:rsidR="001C02C1" w:rsidRPr="00D35C56">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D35C56">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lastRenderedPageBreak/>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525F80">
        <w:rPr>
          <w:rFonts w:ascii="Arial" w:hAnsi="Arial" w:cs="Arial"/>
          <w:b/>
          <w:sz w:val="28"/>
          <w:szCs w:val="28"/>
        </w:rPr>
        <w:t>l acto de clasificación y versio</w:t>
      </w:r>
      <w:r w:rsidR="00EC4A52" w:rsidRPr="00EC4A52">
        <w:rPr>
          <w:rFonts w:ascii="Arial" w:hAnsi="Arial" w:cs="Arial"/>
          <w:b/>
          <w:sz w:val="28"/>
          <w:szCs w:val="28"/>
        </w:rPr>
        <w:t>n</w:t>
      </w:r>
      <w:r w:rsidR="00525F80">
        <w:rPr>
          <w:rFonts w:ascii="Arial" w:hAnsi="Arial" w:cs="Arial"/>
          <w:b/>
          <w:sz w:val="28"/>
          <w:szCs w:val="28"/>
        </w:rPr>
        <w:t>es</w:t>
      </w:r>
      <w:r w:rsidR="00EC4A52" w:rsidRPr="00EC4A52">
        <w:rPr>
          <w:rFonts w:ascii="Arial" w:hAnsi="Arial" w:cs="Arial"/>
          <w:b/>
          <w:sz w:val="28"/>
          <w:szCs w:val="28"/>
        </w:rPr>
        <w:t xml:space="preserve"> pública</w:t>
      </w:r>
      <w:r w:rsidR="00525F80">
        <w:rPr>
          <w:rFonts w:ascii="Arial" w:hAnsi="Arial" w:cs="Arial"/>
          <w:b/>
          <w:sz w:val="28"/>
          <w:szCs w:val="28"/>
        </w:rPr>
        <w:t>s</w:t>
      </w:r>
      <w:r w:rsidR="00EC4A52" w:rsidRPr="00EC4A52">
        <w:rPr>
          <w:rFonts w:ascii="Arial" w:hAnsi="Arial" w:cs="Arial"/>
          <w:b/>
          <w:sz w:val="28"/>
          <w:szCs w:val="28"/>
        </w:rPr>
        <w:t xml:space="preserve"> elaborada</w:t>
      </w:r>
      <w:r w:rsidR="00525F80">
        <w:rPr>
          <w:rFonts w:ascii="Arial" w:hAnsi="Arial" w:cs="Arial"/>
          <w:b/>
          <w:sz w:val="28"/>
          <w:szCs w:val="28"/>
        </w:rPr>
        <w:t>s</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7C7013" w:rsidRPr="00A64318">
        <w:rPr>
          <w:rFonts w:ascii="Arial" w:hAnsi="Arial" w:cs="Arial"/>
          <w:sz w:val="28"/>
          <w:szCs w:val="28"/>
        </w:rPr>
        <w:t>l</w:t>
      </w:r>
      <w:r w:rsidR="005C7B0E">
        <w:rPr>
          <w:rFonts w:ascii="Arial" w:hAnsi="Arial" w:cs="Arial"/>
          <w:sz w:val="28"/>
          <w:szCs w:val="28"/>
        </w:rPr>
        <w:t xml:space="preserve">os procesos </w:t>
      </w:r>
      <w:r w:rsidR="005C7B0E" w:rsidRPr="00D35C56">
        <w:rPr>
          <w:rFonts w:ascii="Arial" w:hAnsi="Arial" w:cs="Arial"/>
          <w:sz w:val="28"/>
          <w:szCs w:val="28"/>
        </w:rPr>
        <w:t>relacionados con los</w:t>
      </w:r>
      <w:r w:rsidR="005C7B0E">
        <w:rPr>
          <w:rFonts w:ascii="Arial" w:hAnsi="Arial" w:cs="Arial"/>
          <w:b/>
          <w:sz w:val="28"/>
          <w:szCs w:val="28"/>
        </w:rPr>
        <w:t xml:space="preserve"> Tocas Penales 1347/2002, 3733/2000, 574/2003, 0005/2001, 1862/2001 y 406/2002,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7C7013">
        <w:rPr>
          <w:rFonts w:ascii="Arial" w:hAnsi="Arial" w:cs="Arial"/>
          <w:sz w:val="28"/>
          <w:szCs w:val="28"/>
        </w:rPr>
        <w:t xml:space="preserve">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3E14C7">
        <w:rPr>
          <w:rFonts w:ascii="Arial" w:hAnsi="Arial" w:cs="Arial"/>
          <w:sz w:val="28"/>
          <w:szCs w:val="28"/>
        </w:rPr>
        <w:t>o</w:t>
      </w:r>
      <w:r w:rsidRPr="00B50DFE">
        <w:rPr>
          <w:rFonts w:ascii="Arial" w:hAnsi="Arial" w:cs="Arial"/>
          <w:sz w:val="28"/>
          <w:szCs w:val="28"/>
        </w:rPr>
        <w:t>n</w:t>
      </w:r>
      <w:r w:rsidR="003E14C7">
        <w:rPr>
          <w:rFonts w:ascii="Arial" w:hAnsi="Arial" w:cs="Arial"/>
          <w:sz w:val="28"/>
          <w:szCs w:val="28"/>
        </w:rPr>
        <w:t>es</w:t>
      </w:r>
      <w:r w:rsidRPr="00B50DFE">
        <w:rPr>
          <w:rFonts w:ascii="Arial" w:hAnsi="Arial" w:cs="Arial"/>
          <w:sz w:val="28"/>
          <w:szCs w:val="28"/>
        </w:rPr>
        <w:t xml:space="preserve"> pública</w:t>
      </w:r>
      <w:r w:rsidR="003E14C7">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32210">
        <w:rPr>
          <w:rFonts w:ascii="Arial" w:hAnsi="Arial" w:cs="Arial"/>
          <w:sz w:val="28"/>
          <w:szCs w:val="28"/>
        </w:rPr>
        <w:t xml:space="preserve"> </w:t>
      </w:r>
      <w:r w:rsidR="004558E9" w:rsidRPr="00B50DFE">
        <w:rPr>
          <w:rFonts w:ascii="Arial" w:hAnsi="Arial" w:cs="Arial"/>
          <w:sz w:val="28"/>
          <w:szCs w:val="28"/>
        </w:rPr>
        <w:t>l</w:t>
      </w:r>
      <w:r w:rsidR="00432210">
        <w:rPr>
          <w:rFonts w:ascii="Arial" w:hAnsi="Arial" w:cs="Arial"/>
          <w:sz w:val="28"/>
          <w:szCs w:val="28"/>
        </w:rPr>
        <w:t>a</w:t>
      </w:r>
      <w:r w:rsidR="008D4861" w:rsidRPr="00B50DFE">
        <w:rPr>
          <w:rFonts w:ascii="Arial" w:hAnsi="Arial" w:cs="Arial"/>
          <w:sz w:val="28"/>
          <w:szCs w:val="28"/>
        </w:rPr>
        <w:t xml:space="preserve"> </w:t>
      </w:r>
      <w:r w:rsidR="00D35C56">
        <w:rPr>
          <w:rFonts w:ascii="Arial" w:hAnsi="Arial" w:cs="Arial"/>
          <w:sz w:val="28"/>
          <w:szCs w:val="28"/>
        </w:rPr>
        <w:t>Secretari</w:t>
      </w:r>
      <w:r w:rsidR="003E14C7">
        <w:rPr>
          <w:rFonts w:ascii="Arial" w:hAnsi="Arial" w:cs="Arial"/>
          <w:sz w:val="28"/>
          <w:szCs w:val="28"/>
        </w:rPr>
        <w:t>a General de Acuerdos del Tribunal Superior de Justicia del Estado de</w:t>
      </w:r>
      <w:r w:rsidR="00C74F64">
        <w:rPr>
          <w:rFonts w:ascii="Arial" w:hAnsi="Arial" w:cs="Arial"/>
          <w:sz w:val="28"/>
          <w:szCs w:val="28"/>
        </w:rPr>
        <w:t xml:space="preserve"> </w:t>
      </w:r>
      <w:r w:rsidR="00AC2EDB" w:rsidRPr="00B50DFE">
        <w:rPr>
          <w:rFonts w:ascii="Arial" w:hAnsi="Arial" w:cs="Arial"/>
          <w:sz w:val="28"/>
          <w:szCs w:val="28"/>
        </w:rPr>
        <w:t>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893380" w:rsidRDefault="00893380"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03282A">
        <w:rPr>
          <w:rFonts w:ascii="Arial" w:hAnsi="Arial" w:cs="Arial"/>
          <w:sz w:val="28"/>
          <w:szCs w:val="28"/>
        </w:rPr>
        <w:t>quin</w:t>
      </w:r>
      <w:r w:rsidR="00893380">
        <w:rPr>
          <w:rFonts w:ascii="Arial" w:hAnsi="Arial" w:cs="Arial"/>
          <w:sz w:val="28"/>
          <w:szCs w:val="28"/>
        </w:rPr>
        <w:t>ce</w:t>
      </w:r>
      <w:r w:rsidR="004558E9" w:rsidRPr="00B50DFE">
        <w:rPr>
          <w:rFonts w:ascii="Arial" w:hAnsi="Arial" w:cs="Arial"/>
          <w:sz w:val="28"/>
          <w:szCs w:val="28"/>
        </w:rPr>
        <w:t xml:space="preserve"> horas del día</w:t>
      </w:r>
      <w:r w:rsidR="00432210">
        <w:rPr>
          <w:rFonts w:ascii="Arial" w:hAnsi="Arial" w:cs="Arial"/>
          <w:sz w:val="28"/>
          <w:szCs w:val="28"/>
        </w:rPr>
        <w:t xml:space="preserve"> </w:t>
      </w:r>
      <w:r w:rsidR="0003282A">
        <w:rPr>
          <w:rFonts w:ascii="Arial" w:hAnsi="Arial" w:cs="Arial"/>
          <w:sz w:val="28"/>
          <w:szCs w:val="28"/>
        </w:rPr>
        <w:t>ocho</w:t>
      </w:r>
      <w:r w:rsidR="009C76A3">
        <w:rPr>
          <w:rFonts w:ascii="Arial" w:hAnsi="Arial" w:cs="Arial"/>
          <w:sz w:val="28"/>
          <w:szCs w:val="28"/>
        </w:rPr>
        <w:t xml:space="preserve"> </w:t>
      </w:r>
      <w:r w:rsidRPr="00B50DFE">
        <w:rPr>
          <w:rFonts w:ascii="Arial" w:hAnsi="Arial" w:cs="Arial"/>
          <w:sz w:val="28"/>
          <w:szCs w:val="28"/>
        </w:rPr>
        <w:t xml:space="preserve">de </w:t>
      </w:r>
      <w:r w:rsidR="0003282A">
        <w:rPr>
          <w:rFonts w:ascii="Arial" w:hAnsi="Arial" w:cs="Arial"/>
          <w:sz w:val="28"/>
          <w:szCs w:val="28"/>
        </w:rPr>
        <w:t>agost</w:t>
      </w:r>
      <w:r w:rsidR="0072093F" w:rsidRPr="00B50DFE">
        <w:rPr>
          <w:rFonts w:ascii="Arial" w:hAnsi="Arial" w:cs="Arial"/>
          <w:sz w:val="28"/>
          <w:szCs w:val="28"/>
        </w:rPr>
        <w:t>o</w:t>
      </w:r>
      <w:r w:rsidRPr="00B50DFE">
        <w:rPr>
          <w:rFonts w:ascii="Arial" w:hAnsi="Arial" w:cs="Arial"/>
          <w:sz w:val="28"/>
          <w:szCs w:val="28"/>
        </w:rPr>
        <w:t xml:space="preserve"> de 2017.</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230FE9" w:rsidRPr="00B50DFE" w:rsidRDefault="00230FE9" w:rsidP="00230FE9">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8A" w:rsidRDefault="008D538A" w:rsidP="00BB457C">
      <w:pPr>
        <w:spacing w:after="0" w:line="240" w:lineRule="auto"/>
      </w:pPr>
      <w:r>
        <w:separator/>
      </w:r>
    </w:p>
  </w:endnote>
  <w:endnote w:type="continuationSeparator" w:id="0">
    <w:p w:rsidR="008D538A" w:rsidRDefault="008D538A"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005582">
            <w:rPr>
              <w:rFonts w:ascii="Arial" w:hAnsi="Arial" w:cs="Arial"/>
              <w:sz w:val="24"/>
            </w:rPr>
            <w:t>rdinaria 40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9D1590" w:rsidRPr="002B04A8">
            <w:rPr>
              <w:rFonts w:ascii="Arial" w:hAnsi="Arial" w:cs="Arial"/>
              <w:sz w:val="24"/>
            </w:rPr>
            <w:fldChar w:fldCharType="begin"/>
          </w:r>
          <w:r w:rsidRPr="002B04A8">
            <w:rPr>
              <w:rFonts w:ascii="Arial" w:hAnsi="Arial" w:cs="Arial"/>
              <w:sz w:val="24"/>
            </w:rPr>
            <w:instrText xml:space="preserve"> PAGE   \* MERGEFORMAT </w:instrText>
          </w:r>
          <w:r w:rsidR="009D1590" w:rsidRPr="002B04A8">
            <w:rPr>
              <w:rFonts w:ascii="Arial" w:hAnsi="Arial" w:cs="Arial"/>
              <w:sz w:val="24"/>
            </w:rPr>
            <w:fldChar w:fldCharType="separate"/>
          </w:r>
          <w:r w:rsidR="00D35C56">
            <w:rPr>
              <w:rFonts w:ascii="Arial" w:hAnsi="Arial" w:cs="Arial"/>
              <w:noProof/>
              <w:sz w:val="24"/>
            </w:rPr>
            <w:t>2</w:t>
          </w:r>
          <w:r w:rsidR="009D1590" w:rsidRPr="002B04A8">
            <w:rPr>
              <w:rFonts w:ascii="Arial" w:hAnsi="Arial" w:cs="Arial"/>
              <w:sz w:val="24"/>
            </w:rPr>
            <w:fldChar w:fldCharType="end"/>
          </w:r>
          <w:r w:rsidRPr="002B04A8">
            <w:rPr>
              <w:rFonts w:ascii="Arial" w:hAnsi="Arial" w:cs="Arial"/>
              <w:sz w:val="24"/>
            </w:rPr>
            <w:t xml:space="preserve"> de </w:t>
          </w:r>
          <w:fldSimple w:instr=" NUMPAGES   \* MERGEFORMAT ">
            <w:r w:rsidR="00D35C56" w:rsidRPr="00D35C56">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66C59">
            <w:rPr>
              <w:rFonts w:ascii="Arial" w:hAnsi="Arial" w:cs="Arial"/>
              <w:sz w:val="24"/>
            </w:rPr>
            <w:t>rdinaria 40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9D1590" w:rsidRPr="002B04A8">
            <w:rPr>
              <w:rFonts w:ascii="Arial" w:hAnsi="Arial" w:cs="Arial"/>
              <w:sz w:val="24"/>
            </w:rPr>
            <w:fldChar w:fldCharType="begin"/>
          </w:r>
          <w:r w:rsidRPr="002B04A8">
            <w:rPr>
              <w:rFonts w:ascii="Arial" w:hAnsi="Arial" w:cs="Arial"/>
              <w:sz w:val="24"/>
            </w:rPr>
            <w:instrText xml:space="preserve"> PAGE   \* MERGEFORMAT </w:instrText>
          </w:r>
          <w:r w:rsidR="009D1590" w:rsidRPr="002B04A8">
            <w:rPr>
              <w:rFonts w:ascii="Arial" w:hAnsi="Arial" w:cs="Arial"/>
              <w:sz w:val="24"/>
            </w:rPr>
            <w:fldChar w:fldCharType="separate"/>
          </w:r>
          <w:r w:rsidR="00D35C56">
            <w:rPr>
              <w:rFonts w:ascii="Arial" w:hAnsi="Arial" w:cs="Arial"/>
              <w:noProof/>
              <w:sz w:val="24"/>
            </w:rPr>
            <w:t>1</w:t>
          </w:r>
          <w:r w:rsidR="009D1590" w:rsidRPr="002B04A8">
            <w:rPr>
              <w:rFonts w:ascii="Arial" w:hAnsi="Arial" w:cs="Arial"/>
              <w:sz w:val="24"/>
            </w:rPr>
            <w:fldChar w:fldCharType="end"/>
          </w:r>
          <w:r w:rsidRPr="002B04A8">
            <w:rPr>
              <w:rFonts w:ascii="Arial" w:hAnsi="Arial" w:cs="Arial"/>
              <w:sz w:val="24"/>
            </w:rPr>
            <w:t xml:space="preserve"> de </w:t>
          </w:r>
          <w:fldSimple w:instr=" NUMPAGES   \* MERGEFORMAT ">
            <w:r w:rsidR="00D35C56" w:rsidRPr="00D35C56">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8A" w:rsidRDefault="008D538A" w:rsidP="00BB457C">
      <w:pPr>
        <w:spacing w:after="0" w:line="240" w:lineRule="auto"/>
      </w:pPr>
      <w:r>
        <w:separator/>
      </w:r>
    </w:p>
  </w:footnote>
  <w:footnote w:type="continuationSeparator" w:id="0">
    <w:p w:rsidR="008D538A" w:rsidRDefault="008D538A"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5582"/>
    <w:rsid w:val="00030B9B"/>
    <w:rsid w:val="0003282A"/>
    <w:rsid w:val="00033BA1"/>
    <w:rsid w:val="0003664C"/>
    <w:rsid w:val="00040B61"/>
    <w:rsid w:val="00055B04"/>
    <w:rsid w:val="00062376"/>
    <w:rsid w:val="00064485"/>
    <w:rsid w:val="000668B3"/>
    <w:rsid w:val="00073EE4"/>
    <w:rsid w:val="000852C4"/>
    <w:rsid w:val="00090010"/>
    <w:rsid w:val="000929A8"/>
    <w:rsid w:val="000B2F5C"/>
    <w:rsid w:val="000B581D"/>
    <w:rsid w:val="000B5DD8"/>
    <w:rsid w:val="000C0387"/>
    <w:rsid w:val="000E6393"/>
    <w:rsid w:val="000F171C"/>
    <w:rsid w:val="000F1894"/>
    <w:rsid w:val="000F2E5D"/>
    <w:rsid w:val="000F6470"/>
    <w:rsid w:val="0010035A"/>
    <w:rsid w:val="00104BE7"/>
    <w:rsid w:val="00133332"/>
    <w:rsid w:val="0014172F"/>
    <w:rsid w:val="00143B61"/>
    <w:rsid w:val="00146EF4"/>
    <w:rsid w:val="00155874"/>
    <w:rsid w:val="00161BA2"/>
    <w:rsid w:val="00166703"/>
    <w:rsid w:val="00170C6E"/>
    <w:rsid w:val="001712E6"/>
    <w:rsid w:val="00171374"/>
    <w:rsid w:val="001729DD"/>
    <w:rsid w:val="00176399"/>
    <w:rsid w:val="001C02C1"/>
    <w:rsid w:val="001C4D5B"/>
    <w:rsid w:val="001D2778"/>
    <w:rsid w:val="001E6A4F"/>
    <w:rsid w:val="001F1944"/>
    <w:rsid w:val="00202A20"/>
    <w:rsid w:val="002123F7"/>
    <w:rsid w:val="00213E98"/>
    <w:rsid w:val="00230415"/>
    <w:rsid w:val="00230FE9"/>
    <w:rsid w:val="0024380A"/>
    <w:rsid w:val="00250934"/>
    <w:rsid w:val="002722B1"/>
    <w:rsid w:val="00281D4C"/>
    <w:rsid w:val="00294315"/>
    <w:rsid w:val="00297516"/>
    <w:rsid w:val="002A1E9D"/>
    <w:rsid w:val="002A6366"/>
    <w:rsid w:val="002A7017"/>
    <w:rsid w:val="002A7293"/>
    <w:rsid w:val="002B0374"/>
    <w:rsid w:val="002B183F"/>
    <w:rsid w:val="002C10A7"/>
    <w:rsid w:val="002C2908"/>
    <w:rsid w:val="002C4C76"/>
    <w:rsid w:val="002D03C1"/>
    <w:rsid w:val="002D1E45"/>
    <w:rsid w:val="002E27BE"/>
    <w:rsid w:val="002F0DE5"/>
    <w:rsid w:val="002F5492"/>
    <w:rsid w:val="00300C42"/>
    <w:rsid w:val="00301872"/>
    <w:rsid w:val="00304A62"/>
    <w:rsid w:val="003105B5"/>
    <w:rsid w:val="00311868"/>
    <w:rsid w:val="00315865"/>
    <w:rsid w:val="00322418"/>
    <w:rsid w:val="003224B5"/>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C539A"/>
    <w:rsid w:val="003D210F"/>
    <w:rsid w:val="003E14C7"/>
    <w:rsid w:val="003E675B"/>
    <w:rsid w:val="003E726C"/>
    <w:rsid w:val="003F06E8"/>
    <w:rsid w:val="00410F69"/>
    <w:rsid w:val="00411EE4"/>
    <w:rsid w:val="004124A0"/>
    <w:rsid w:val="00432210"/>
    <w:rsid w:val="004331A4"/>
    <w:rsid w:val="004417D6"/>
    <w:rsid w:val="004456E4"/>
    <w:rsid w:val="00446434"/>
    <w:rsid w:val="0044699C"/>
    <w:rsid w:val="00447B44"/>
    <w:rsid w:val="00451222"/>
    <w:rsid w:val="00455061"/>
    <w:rsid w:val="004558E9"/>
    <w:rsid w:val="00462505"/>
    <w:rsid w:val="00464487"/>
    <w:rsid w:val="00472E15"/>
    <w:rsid w:val="00484147"/>
    <w:rsid w:val="0048649F"/>
    <w:rsid w:val="00487DBF"/>
    <w:rsid w:val="004A65C2"/>
    <w:rsid w:val="004B1C5B"/>
    <w:rsid w:val="004B2E0B"/>
    <w:rsid w:val="004C2BF0"/>
    <w:rsid w:val="004C55CB"/>
    <w:rsid w:val="004D01D5"/>
    <w:rsid w:val="004D05C1"/>
    <w:rsid w:val="004D1FB9"/>
    <w:rsid w:val="004D3240"/>
    <w:rsid w:val="004D49BD"/>
    <w:rsid w:val="004F14FB"/>
    <w:rsid w:val="004F3E2B"/>
    <w:rsid w:val="004F3FFF"/>
    <w:rsid w:val="004F4167"/>
    <w:rsid w:val="004F47B4"/>
    <w:rsid w:val="00501B38"/>
    <w:rsid w:val="0050243F"/>
    <w:rsid w:val="0052172F"/>
    <w:rsid w:val="00525F80"/>
    <w:rsid w:val="00527373"/>
    <w:rsid w:val="00531F83"/>
    <w:rsid w:val="00533B3F"/>
    <w:rsid w:val="0054309D"/>
    <w:rsid w:val="00544630"/>
    <w:rsid w:val="00545BE7"/>
    <w:rsid w:val="0055092E"/>
    <w:rsid w:val="005536D6"/>
    <w:rsid w:val="00554490"/>
    <w:rsid w:val="00554516"/>
    <w:rsid w:val="005605AD"/>
    <w:rsid w:val="00561CDE"/>
    <w:rsid w:val="0057159F"/>
    <w:rsid w:val="00573F7D"/>
    <w:rsid w:val="00575390"/>
    <w:rsid w:val="0058108D"/>
    <w:rsid w:val="00582950"/>
    <w:rsid w:val="005C7B0E"/>
    <w:rsid w:val="005D6029"/>
    <w:rsid w:val="005E2557"/>
    <w:rsid w:val="005E63EA"/>
    <w:rsid w:val="005F092B"/>
    <w:rsid w:val="005F48AD"/>
    <w:rsid w:val="00604C57"/>
    <w:rsid w:val="006100B5"/>
    <w:rsid w:val="00621E13"/>
    <w:rsid w:val="0062247B"/>
    <w:rsid w:val="0062782F"/>
    <w:rsid w:val="0064548A"/>
    <w:rsid w:val="006812C1"/>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2519E"/>
    <w:rsid w:val="0073416E"/>
    <w:rsid w:val="00736DC9"/>
    <w:rsid w:val="00754268"/>
    <w:rsid w:val="00754A79"/>
    <w:rsid w:val="007553E9"/>
    <w:rsid w:val="00760A5D"/>
    <w:rsid w:val="00760A77"/>
    <w:rsid w:val="007626D3"/>
    <w:rsid w:val="00767056"/>
    <w:rsid w:val="00770B19"/>
    <w:rsid w:val="00773572"/>
    <w:rsid w:val="007945F9"/>
    <w:rsid w:val="007A0AE3"/>
    <w:rsid w:val="007A5452"/>
    <w:rsid w:val="007B044C"/>
    <w:rsid w:val="007B4913"/>
    <w:rsid w:val="007B640B"/>
    <w:rsid w:val="007C7013"/>
    <w:rsid w:val="007D6BC5"/>
    <w:rsid w:val="007E42B2"/>
    <w:rsid w:val="007F0DEB"/>
    <w:rsid w:val="00803B89"/>
    <w:rsid w:val="00821071"/>
    <w:rsid w:val="00827141"/>
    <w:rsid w:val="0083722E"/>
    <w:rsid w:val="00847E0C"/>
    <w:rsid w:val="00867CCB"/>
    <w:rsid w:val="00871248"/>
    <w:rsid w:val="00874415"/>
    <w:rsid w:val="00875953"/>
    <w:rsid w:val="00881137"/>
    <w:rsid w:val="00884284"/>
    <w:rsid w:val="008909F3"/>
    <w:rsid w:val="00891DE5"/>
    <w:rsid w:val="00892DA5"/>
    <w:rsid w:val="00893380"/>
    <w:rsid w:val="00893573"/>
    <w:rsid w:val="008A1FA6"/>
    <w:rsid w:val="008B04C9"/>
    <w:rsid w:val="008B050E"/>
    <w:rsid w:val="008B2D3A"/>
    <w:rsid w:val="008B5F6F"/>
    <w:rsid w:val="008C14AD"/>
    <w:rsid w:val="008D4861"/>
    <w:rsid w:val="008D513F"/>
    <w:rsid w:val="008D538A"/>
    <w:rsid w:val="008E1627"/>
    <w:rsid w:val="008E4BA4"/>
    <w:rsid w:val="008E6974"/>
    <w:rsid w:val="008F015A"/>
    <w:rsid w:val="008F1EE2"/>
    <w:rsid w:val="008F2B0F"/>
    <w:rsid w:val="0090173D"/>
    <w:rsid w:val="00911B48"/>
    <w:rsid w:val="00915102"/>
    <w:rsid w:val="009151EF"/>
    <w:rsid w:val="0094516E"/>
    <w:rsid w:val="00954299"/>
    <w:rsid w:val="00960294"/>
    <w:rsid w:val="00983711"/>
    <w:rsid w:val="00985836"/>
    <w:rsid w:val="00991AAD"/>
    <w:rsid w:val="00992A03"/>
    <w:rsid w:val="00993916"/>
    <w:rsid w:val="00994442"/>
    <w:rsid w:val="009A4353"/>
    <w:rsid w:val="009C242D"/>
    <w:rsid w:val="009C76A3"/>
    <w:rsid w:val="009D1590"/>
    <w:rsid w:val="009D6A70"/>
    <w:rsid w:val="009E2AB0"/>
    <w:rsid w:val="009F3A35"/>
    <w:rsid w:val="00A0027E"/>
    <w:rsid w:val="00A06677"/>
    <w:rsid w:val="00A16237"/>
    <w:rsid w:val="00A24F04"/>
    <w:rsid w:val="00A355E0"/>
    <w:rsid w:val="00A375FF"/>
    <w:rsid w:val="00A44E69"/>
    <w:rsid w:val="00A635A0"/>
    <w:rsid w:val="00A64318"/>
    <w:rsid w:val="00A64FFC"/>
    <w:rsid w:val="00A66C59"/>
    <w:rsid w:val="00A67462"/>
    <w:rsid w:val="00A70087"/>
    <w:rsid w:val="00A723AF"/>
    <w:rsid w:val="00A82857"/>
    <w:rsid w:val="00AA47AE"/>
    <w:rsid w:val="00AA76BD"/>
    <w:rsid w:val="00AA79A7"/>
    <w:rsid w:val="00AB301C"/>
    <w:rsid w:val="00AB48E0"/>
    <w:rsid w:val="00AC2EDB"/>
    <w:rsid w:val="00AC7F08"/>
    <w:rsid w:val="00AD2381"/>
    <w:rsid w:val="00AD3A52"/>
    <w:rsid w:val="00AD66D5"/>
    <w:rsid w:val="00AD6729"/>
    <w:rsid w:val="00AE24A3"/>
    <w:rsid w:val="00AE2FFA"/>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3B51"/>
    <w:rsid w:val="00B95381"/>
    <w:rsid w:val="00B97CEF"/>
    <w:rsid w:val="00BB457C"/>
    <w:rsid w:val="00BB5087"/>
    <w:rsid w:val="00BC225B"/>
    <w:rsid w:val="00BC5F84"/>
    <w:rsid w:val="00BC720E"/>
    <w:rsid w:val="00BE4F0F"/>
    <w:rsid w:val="00BF3966"/>
    <w:rsid w:val="00C017BE"/>
    <w:rsid w:val="00C0320A"/>
    <w:rsid w:val="00C04FAD"/>
    <w:rsid w:val="00C0667A"/>
    <w:rsid w:val="00C07DA4"/>
    <w:rsid w:val="00C111CF"/>
    <w:rsid w:val="00C16D3B"/>
    <w:rsid w:val="00C22463"/>
    <w:rsid w:val="00C23EEE"/>
    <w:rsid w:val="00C250BE"/>
    <w:rsid w:val="00C2774D"/>
    <w:rsid w:val="00C34B3E"/>
    <w:rsid w:val="00C44023"/>
    <w:rsid w:val="00C44C38"/>
    <w:rsid w:val="00C4578D"/>
    <w:rsid w:val="00C47CFF"/>
    <w:rsid w:val="00C6213D"/>
    <w:rsid w:val="00C65080"/>
    <w:rsid w:val="00C67FEE"/>
    <w:rsid w:val="00C74F64"/>
    <w:rsid w:val="00C80236"/>
    <w:rsid w:val="00C8063D"/>
    <w:rsid w:val="00C823F9"/>
    <w:rsid w:val="00C93970"/>
    <w:rsid w:val="00C95341"/>
    <w:rsid w:val="00C96DE9"/>
    <w:rsid w:val="00CA2ACC"/>
    <w:rsid w:val="00CA39BC"/>
    <w:rsid w:val="00CB701E"/>
    <w:rsid w:val="00CC510B"/>
    <w:rsid w:val="00CE14BC"/>
    <w:rsid w:val="00CE4CC4"/>
    <w:rsid w:val="00CF21F3"/>
    <w:rsid w:val="00CF429D"/>
    <w:rsid w:val="00CF59CC"/>
    <w:rsid w:val="00CF6091"/>
    <w:rsid w:val="00CF6EA4"/>
    <w:rsid w:val="00D0431A"/>
    <w:rsid w:val="00D067B4"/>
    <w:rsid w:val="00D17082"/>
    <w:rsid w:val="00D17C08"/>
    <w:rsid w:val="00D25937"/>
    <w:rsid w:val="00D32A3E"/>
    <w:rsid w:val="00D35C56"/>
    <w:rsid w:val="00D40D10"/>
    <w:rsid w:val="00D47EE3"/>
    <w:rsid w:val="00D5236D"/>
    <w:rsid w:val="00D53BE0"/>
    <w:rsid w:val="00D65016"/>
    <w:rsid w:val="00D70216"/>
    <w:rsid w:val="00D70480"/>
    <w:rsid w:val="00D73C27"/>
    <w:rsid w:val="00D73C51"/>
    <w:rsid w:val="00D741CD"/>
    <w:rsid w:val="00D82392"/>
    <w:rsid w:val="00D910A7"/>
    <w:rsid w:val="00D91857"/>
    <w:rsid w:val="00D9417E"/>
    <w:rsid w:val="00D96ADC"/>
    <w:rsid w:val="00DA6FBB"/>
    <w:rsid w:val="00DB6D61"/>
    <w:rsid w:val="00DB7642"/>
    <w:rsid w:val="00DC46CA"/>
    <w:rsid w:val="00DC5383"/>
    <w:rsid w:val="00DC757E"/>
    <w:rsid w:val="00DD7D68"/>
    <w:rsid w:val="00DE3245"/>
    <w:rsid w:val="00DF602D"/>
    <w:rsid w:val="00E1647C"/>
    <w:rsid w:val="00E1732C"/>
    <w:rsid w:val="00E40B3A"/>
    <w:rsid w:val="00E50E81"/>
    <w:rsid w:val="00E517EF"/>
    <w:rsid w:val="00E57DDB"/>
    <w:rsid w:val="00E606A6"/>
    <w:rsid w:val="00E67530"/>
    <w:rsid w:val="00E70C62"/>
    <w:rsid w:val="00E7395A"/>
    <w:rsid w:val="00EA13A1"/>
    <w:rsid w:val="00EA6BE1"/>
    <w:rsid w:val="00EB0836"/>
    <w:rsid w:val="00EB28DA"/>
    <w:rsid w:val="00EB5B19"/>
    <w:rsid w:val="00EB7362"/>
    <w:rsid w:val="00EC4A52"/>
    <w:rsid w:val="00ED0680"/>
    <w:rsid w:val="00ED1D9B"/>
    <w:rsid w:val="00ED7FF0"/>
    <w:rsid w:val="00EF3FE2"/>
    <w:rsid w:val="00EF6E02"/>
    <w:rsid w:val="00EF6E8C"/>
    <w:rsid w:val="00F10232"/>
    <w:rsid w:val="00F166F5"/>
    <w:rsid w:val="00F332DB"/>
    <w:rsid w:val="00F37251"/>
    <w:rsid w:val="00F41C01"/>
    <w:rsid w:val="00F51C11"/>
    <w:rsid w:val="00F573A4"/>
    <w:rsid w:val="00F71C67"/>
    <w:rsid w:val="00F75378"/>
    <w:rsid w:val="00F80819"/>
    <w:rsid w:val="00F90629"/>
    <w:rsid w:val="00F9779E"/>
    <w:rsid w:val="00FA34DA"/>
    <w:rsid w:val="00FB3556"/>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0D114-265D-4223-9188-C7B6C75D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2421</Words>
  <Characters>13317</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2017-08-07T20:30:00Z</dcterms:created>
  <dcterms:modified xsi:type="dcterms:W3CDTF">2017-08-07T20:30:00Z</dcterms:modified>
</cp:coreProperties>
</file>