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9E7396">
        <w:rPr>
          <w:rFonts w:ascii="Lato" w:hAnsi="Lato" w:cs="Arial"/>
          <w:b/>
        </w:rPr>
        <w:t>VA A LA SESIÓN EXTRAORDINARIA 34</w:t>
      </w:r>
      <w:r w:rsidRPr="007A2FA2">
        <w:rPr>
          <w:rFonts w:ascii="Lato" w:hAnsi="Lato" w:cs="Arial"/>
          <w:b/>
        </w:rPr>
        <w:t>/</w:t>
      </w:r>
      <w:r w:rsidR="00E72E24">
        <w:rPr>
          <w:rFonts w:ascii="Lato" w:hAnsi="Lato" w:cs="Arial"/>
          <w:b/>
        </w:rPr>
        <w:t>20</w:t>
      </w:r>
      <w:r w:rsidRPr="007A2FA2">
        <w:rPr>
          <w:rFonts w:ascii="Lato" w:hAnsi="Lato" w:cs="Arial"/>
          <w:b/>
        </w:rPr>
        <w:t>18</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1348B2">
        <w:rPr>
          <w:rFonts w:ascii="Lato" w:hAnsi="Lato" w:cs="Arial"/>
        </w:rPr>
        <w:t xml:space="preserve"> tre</w:t>
      </w:r>
      <w:r w:rsidR="0050038F">
        <w:rPr>
          <w:rFonts w:ascii="Lato" w:hAnsi="Lato" w:cs="Arial"/>
        </w:rPr>
        <w:t>ce horas</w:t>
      </w:r>
      <w:r w:rsidR="001325E3">
        <w:rPr>
          <w:rFonts w:ascii="Lato" w:hAnsi="Lato" w:cs="Arial"/>
        </w:rPr>
        <w:t xml:space="preserve"> del día </w:t>
      </w:r>
      <w:r w:rsidR="009E7396">
        <w:rPr>
          <w:rFonts w:ascii="Lato" w:hAnsi="Lato" w:cs="Arial"/>
        </w:rPr>
        <w:t>diecisiete</w:t>
      </w:r>
      <w:r w:rsidR="001348B2">
        <w:rPr>
          <w:rFonts w:ascii="Lato" w:hAnsi="Lato" w:cs="Arial"/>
        </w:rPr>
        <w:t xml:space="preserve"> de octu</w:t>
      </w:r>
      <w:r w:rsidR="00217653">
        <w:rPr>
          <w:rFonts w:ascii="Lato" w:hAnsi="Lato" w:cs="Arial"/>
        </w:rPr>
        <w:t>bre</w:t>
      </w:r>
      <w:r w:rsidRPr="007A2FA2">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FD0427">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D0427">
        <w:rPr>
          <w:rFonts w:ascii="Lato" w:hAnsi="Lato" w:cs="Arial"/>
        </w:rPr>
        <w:t xml:space="preserve">la </w:t>
      </w:r>
      <w:r w:rsidRPr="007A2FA2">
        <w:rPr>
          <w:rFonts w:ascii="Lato" w:hAnsi="Lato" w:cs="Arial"/>
        </w:rPr>
        <w:t>Magistrada y Consejera Presidenta de la Comisión de Vigilancia y Disciplina del Consejo de la Judicatura, Licenciada</w:t>
      </w:r>
      <w:r w:rsidR="00217653">
        <w:rPr>
          <w:rFonts w:ascii="Lato" w:hAnsi="Lato" w:cs="Arial"/>
        </w:rPr>
        <w:t xml:space="preserve"> Columba Imelda Amador Guillén</w:t>
      </w:r>
      <w:r w:rsidRPr="007A2FA2">
        <w:rPr>
          <w:rFonts w:ascii="Lato" w:hAnsi="Lato" w:cs="Arial"/>
        </w:rPr>
        <w:t>,</w:t>
      </w:r>
      <w:r w:rsidR="00FD0427">
        <w:rPr>
          <w:rFonts w:ascii="Lato" w:hAnsi="Lato" w:cs="Arial"/>
        </w:rPr>
        <w:t xml:space="preserve"> el</w:t>
      </w:r>
      <w:r w:rsidRPr="007A2FA2">
        <w:rPr>
          <w:rFonts w:ascii="Lato" w:hAnsi="Lato" w:cs="Arial"/>
        </w:rPr>
        <w:t xml:space="preserve"> Director de la Unidad Jurídica y Asesoría Interna del Poder Judicial, Licenciado Jesús Ariel Durán Morales, </w:t>
      </w:r>
      <w:r w:rsidR="00FD0427">
        <w:rPr>
          <w:rFonts w:ascii="Lato" w:hAnsi="Lato" w:cs="Arial"/>
        </w:rPr>
        <w:t xml:space="preserve">el </w:t>
      </w:r>
      <w:r w:rsidRPr="007A2FA2">
        <w:rPr>
          <w:rFonts w:ascii="Lato" w:hAnsi="Lato" w:cs="Arial"/>
        </w:rPr>
        <w:t>Oficial Mayor del Consejo de la Judicatura, C.P. Jorge Alberto Coral Gutiérrez y la Directora de la Unidad de Transparencia, Maestra en Derecho Elsa Amalia Kuljacha Lerma, Secretaria Técnica del Comité, para cele</w:t>
      </w:r>
      <w:r w:rsidR="009E7396">
        <w:rPr>
          <w:rFonts w:ascii="Lato" w:hAnsi="Lato" w:cs="Arial"/>
        </w:rPr>
        <w:t>brar la sesión extraordinaria 34</w:t>
      </w:r>
      <w:r w:rsidRPr="007A2FA2">
        <w:rPr>
          <w:rFonts w:ascii="Lato" w:hAnsi="Lato" w:cs="Arial"/>
        </w:rPr>
        <w:t>/</w:t>
      </w:r>
      <w:r w:rsidR="00E72E24">
        <w:rPr>
          <w:rFonts w:ascii="Lato" w:hAnsi="Lato" w:cs="Arial"/>
        </w:rPr>
        <w:t>20</w:t>
      </w:r>
      <w:r w:rsidRPr="007A2FA2">
        <w:rPr>
          <w:rFonts w:ascii="Lato" w:hAnsi="Lato" w:cs="Arial"/>
        </w:rPr>
        <w:t xml:space="preserve">18.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E72E24">
      <w:pPr>
        <w:spacing w:before="24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9E7396">
        <w:rPr>
          <w:rFonts w:ascii="Lato" w:hAnsi="Lato" w:cs="Arial"/>
          <w:b/>
        </w:rPr>
        <w:t>n de plazo para dar respuesta 20</w:t>
      </w:r>
      <w:r w:rsidRPr="007A2FA2">
        <w:rPr>
          <w:rFonts w:ascii="Lato" w:hAnsi="Lato" w:cs="Arial"/>
          <w:b/>
        </w:rPr>
        <w:t>/</w:t>
      </w:r>
      <w:r w:rsidR="00E72E24">
        <w:rPr>
          <w:rFonts w:ascii="Lato" w:hAnsi="Lato" w:cs="Arial"/>
          <w:b/>
        </w:rPr>
        <w:t>20</w:t>
      </w:r>
      <w:r w:rsidRPr="007A2FA2">
        <w:rPr>
          <w:rFonts w:ascii="Lato" w:hAnsi="Lato" w:cs="Arial"/>
          <w:b/>
        </w:rPr>
        <w:t>18</w:t>
      </w:r>
      <w:r w:rsidRPr="007A2FA2">
        <w:rPr>
          <w:rFonts w:ascii="Lato" w:hAnsi="Lato" w:cs="Arial"/>
        </w:rPr>
        <w:t>, derivado de la solicitud de información registrad</w:t>
      </w:r>
      <w:r w:rsidR="001325E3">
        <w:rPr>
          <w:rFonts w:ascii="Lato" w:hAnsi="Lato" w:cs="Arial"/>
        </w:rPr>
        <w:t>a</w:t>
      </w:r>
      <w:r w:rsidR="00894996">
        <w:rPr>
          <w:rFonts w:ascii="Lato" w:hAnsi="Lato" w:cs="Arial"/>
        </w:rPr>
        <w:t xml:space="preserve"> con </w:t>
      </w:r>
      <w:r w:rsidR="00217653">
        <w:rPr>
          <w:rFonts w:ascii="Lato" w:hAnsi="Lato" w:cs="Arial"/>
        </w:rPr>
        <w:t>e</w:t>
      </w:r>
      <w:r w:rsidR="001325E3">
        <w:rPr>
          <w:rFonts w:ascii="Lato" w:hAnsi="Lato" w:cs="Arial"/>
        </w:rPr>
        <w:t>l número</w:t>
      </w:r>
      <w:r w:rsidR="00894996">
        <w:rPr>
          <w:rFonts w:ascii="Lato" w:hAnsi="Lato" w:cs="Arial"/>
        </w:rPr>
        <w:t xml:space="preserve"> de folio </w:t>
      </w:r>
      <w:r w:rsidR="009E7396">
        <w:rPr>
          <w:rFonts w:ascii="Lato" w:hAnsi="Lato" w:cs="Arial"/>
        </w:rPr>
        <w:t>00</w:t>
      </w:r>
      <w:r w:rsidR="009D065E">
        <w:rPr>
          <w:rFonts w:ascii="Lato" w:hAnsi="Lato" w:cs="Arial"/>
        </w:rPr>
        <w:t>9</w:t>
      </w:r>
      <w:r w:rsidR="009E7396">
        <w:rPr>
          <w:rFonts w:ascii="Lato" w:hAnsi="Lato" w:cs="Arial"/>
        </w:rPr>
        <w:t>461</w:t>
      </w:r>
      <w:r w:rsidR="00217653">
        <w:rPr>
          <w:rFonts w:ascii="Lato" w:hAnsi="Lato" w:cs="Arial"/>
        </w:rPr>
        <w:t>18</w:t>
      </w:r>
      <w:r w:rsidRPr="007A2FA2">
        <w:rPr>
          <w:rFonts w:ascii="Lato" w:hAnsi="Lato" w:cs="Arial"/>
        </w:rPr>
        <w:t>, que se ha realizado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9E7396">
        <w:rPr>
          <w:rFonts w:ascii="Lato" w:hAnsi="Lato" w:cs="Arial"/>
        </w:rPr>
        <w:t>doce</w:t>
      </w:r>
      <w:r w:rsidR="000D6DBF">
        <w:rPr>
          <w:rFonts w:ascii="Lato" w:hAnsi="Lato" w:cs="Arial"/>
        </w:rPr>
        <w:t xml:space="preserve"> </w:t>
      </w:r>
      <w:r w:rsidR="00490810">
        <w:rPr>
          <w:rFonts w:ascii="Lato" w:hAnsi="Lato" w:cs="Arial"/>
        </w:rPr>
        <w:t xml:space="preserve">de </w:t>
      </w:r>
      <w:r w:rsidR="009E7396">
        <w:rPr>
          <w:rFonts w:ascii="Lato" w:hAnsi="Lato" w:cs="Arial"/>
        </w:rPr>
        <w:t>octu</w:t>
      </w:r>
      <w:r w:rsidR="00217653">
        <w:rPr>
          <w:rFonts w:ascii="Lato" w:hAnsi="Lato" w:cs="Arial"/>
        </w:rPr>
        <w:t>bre</w:t>
      </w:r>
      <w:r w:rsidRPr="007A2FA2">
        <w:rPr>
          <w:rFonts w:ascii="Lato" w:hAnsi="Lato" w:cs="Arial"/>
        </w:rPr>
        <w:t xml:space="preserve"> de dos mil dieciocho</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i/>
        </w:rPr>
      </w:pPr>
      <w:r w:rsidRPr="007A2FA2">
        <w:rPr>
          <w:rFonts w:ascii="Lato" w:hAnsi="Lato" w:cs="Arial"/>
        </w:rPr>
        <w:t>1) Mediante la solicitud de referencia se pide</w:t>
      </w:r>
      <w:r w:rsidR="009236BE">
        <w:rPr>
          <w:rFonts w:ascii="Lato" w:hAnsi="Lato" w:cs="Arial"/>
        </w:rPr>
        <w:t>:</w:t>
      </w:r>
      <w:r w:rsidRPr="007A2FA2">
        <w:rPr>
          <w:rFonts w:ascii="Lato" w:hAnsi="Lato" w:cs="Arial"/>
        </w:rPr>
        <w:t xml:space="preserve"> </w:t>
      </w:r>
      <w:r w:rsidR="00872D29">
        <w:rPr>
          <w:rFonts w:ascii="Lato" w:hAnsi="Lato" w:cs="Arial"/>
          <w:i/>
        </w:rPr>
        <w:t>“</w:t>
      </w:r>
      <w:r w:rsidR="009D285C">
        <w:rPr>
          <w:rFonts w:ascii="Lato" w:hAnsi="Lato" w:cs="Arial"/>
          <w:i/>
        </w:rPr>
        <w:t>(…)</w:t>
      </w:r>
      <w:r w:rsidR="00B30521">
        <w:rPr>
          <w:rFonts w:ascii="Lato" w:hAnsi="Lato" w:cs="Arial"/>
          <w:i/>
        </w:rPr>
        <w:t>1. El nombre de Todos y cada uno de los empleados y/o Abogados Adscritos a la Unidad Jurídica del Poder Judicial del Estado de Baja California en el periodo de 31 de Enero de 2012 al 21 de abril de 2015. Situación laboral        de las personas que encuadren en el párrafo anterior así como su situación actual informando lo siguiente antigüedad, períodos laborados altas y bajas como empleados del Poder Judicial del Estado. 2. Se proporcione relación de todos y cada uno de los litigios en los cuales sea parte el H. Poder Judicial del Estado de Baja California y/o H. Poder Judicial del Estado de Baja California y Consejo de la Judicatura y/o Tribunal Superior</w:t>
      </w:r>
      <w:r w:rsidR="0024101F">
        <w:rPr>
          <w:rFonts w:ascii="Lato" w:hAnsi="Lato" w:cs="Arial"/>
          <w:i/>
        </w:rPr>
        <w:t xml:space="preserve"> </w:t>
      </w:r>
      <w:r w:rsidR="00B30521">
        <w:rPr>
          <w:rFonts w:ascii="Lato" w:hAnsi="Lato" w:cs="Arial"/>
          <w:i/>
        </w:rPr>
        <w:t>de Justicia</w:t>
      </w:r>
      <w:r w:rsidR="0024101F">
        <w:rPr>
          <w:rFonts w:ascii="Lato" w:hAnsi="Lato" w:cs="Arial"/>
          <w:i/>
        </w:rPr>
        <w:t xml:space="preserve"> del Estado y/</w:t>
      </w:r>
      <w:r w:rsidR="00F4539C">
        <w:rPr>
          <w:rFonts w:ascii="Lato" w:hAnsi="Lato" w:cs="Arial"/>
          <w:i/>
        </w:rPr>
        <w:t>o</w:t>
      </w:r>
      <w:r w:rsidR="0024101F">
        <w:rPr>
          <w:rFonts w:ascii="Lato" w:hAnsi="Lato" w:cs="Arial"/>
          <w:i/>
        </w:rPr>
        <w:t>º Consejo de la Judicatura del Estado. Sin distinciones de Materia ni Instancia, tan</w:t>
      </w:r>
      <w:r w:rsidR="00F4539C">
        <w:rPr>
          <w:rFonts w:ascii="Lato" w:hAnsi="Lato" w:cs="Arial"/>
          <w:i/>
        </w:rPr>
        <w:t>t</w:t>
      </w:r>
      <w:r w:rsidR="0024101F">
        <w:rPr>
          <w:rFonts w:ascii="Lato" w:hAnsi="Lato" w:cs="Arial"/>
          <w:i/>
        </w:rPr>
        <w:t>o Litigios laborales, amparo, civil, Penal, Contencioso Administrativo y derivados de los mismos en los cuales LA CONTRAPARTE del H. Poder Judicial del Estado de Baja California y/o H. Poder Judicial del Estado de Baja California y Consejo de la Judicatura del Estado es o en su caso fue representada por los siguientes abogados: Lic. José Alberto Fernández Torres, Lic. Santiago Sánchez Jiménez, Lic. Joel Cazares Siqueiros, Lic. Adolfo Serratos Nava</w:t>
      </w:r>
      <w:r w:rsidR="001E0A87">
        <w:rPr>
          <w:rFonts w:ascii="Lato" w:hAnsi="Lato" w:cs="Arial"/>
          <w:i/>
        </w:rPr>
        <w:t xml:space="preserve"> </w:t>
      </w:r>
      <w:r w:rsidR="00D20A65">
        <w:rPr>
          <w:rFonts w:ascii="Lato" w:hAnsi="Lato" w:cs="Arial"/>
          <w:i/>
        </w:rPr>
        <w:t>(…)”.</w:t>
      </w:r>
      <w:r w:rsidR="00B30521">
        <w:rPr>
          <w:rFonts w:ascii="Lato" w:hAnsi="Lato" w:cs="Arial"/>
          <w:i/>
        </w:rPr>
        <w:t xml:space="preserve">                    </w:t>
      </w:r>
      <w:r w:rsidR="009D065E">
        <w:rPr>
          <w:rFonts w:ascii="Lato" w:hAnsi="Lato" w:cs="Arial"/>
          <w:i/>
        </w:rPr>
        <w:t xml:space="preserve">             </w:t>
      </w:r>
      <w:r w:rsidR="00AF3105">
        <w:rPr>
          <w:rFonts w:ascii="Lato" w:hAnsi="Lato" w:cs="Arial"/>
          <w:i/>
        </w:rPr>
        <w:t xml:space="preserv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 informació</w:t>
      </w:r>
      <w:r w:rsidR="00AF3105">
        <w:rPr>
          <w:rFonts w:ascii="Lato" w:hAnsi="Lato" w:cs="Arial"/>
        </w:rPr>
        <w:t xml:space="preserve">n solicitada, requiriendo de ella al </w:t>
      </w:r>
      <w:r w:rsidR="001E0A87">
        <w:rPr>
          <w:rFonts w:ascii="Lato" w:hAnsi="Lato" w:cs="Arial"/>
        </w:rPr>
        <w:t>Director de la Unidad Jurídica y Asesoría Interna del Poder Judicial del Estado</w:t>
      </w:r>
      <w:r w:rsidR="00316369">
        <w:rPr>
          <w:rFonts w:ascii="Lato" w:hAnsi="Lato" w:cs="Arial"/>
        </w:rPr>
        <w:t>, mediante</w:t>
      </w:r>
      <w:r w:rsidRPr="007A2FA2">
        <w:rPr>
          <w:rFonts w:ascii="Lato" w:hAnsi="Lato" w:cs="Arial"/>
        </w:rPr>
        <w:t xml:space="preserve"> oficio número</w:t>
      </w:r>
      <w:r w:rsidR="009D5743">
        <w:rPr>
          <w:rFonts w:ascii="Lato" w:hAnsi="Lato" w:cs="Arial"/>
        </w:rPr>
        <w:t xml:space="preserve"> </w:t>
      </w:r>
      <w:r w:rsidR="00AF3105">
        <w:rPr>
          <w:rFonts w:ascii="Lato" w:hAnsi="Lato" w:cs="Arial"/>
        </w:rPr>
        <w:t>1</w:t>
      </w:r>
      <w:r w:rsidR="001E0A87">
        <w:rPr>
          <w:rFonts w:ascii="Lato" w:hAnsi="Lato" w:cs="Arial"/>
        </w:rPr>
        <w:t>519</w:t>
      </w:r>
      <w:r w:rsidRPr="007A2FA2">
        <w:rPr>
          <w:rFonts w:ascii="Lato" w:hAnsi="Lato" w:cs="Arial"/>
        </w:rPr>
        <w:t>/UT/MXL/2018</w:t>
      </w:r>
      <w:r w:rsidR="00316369">
        <w:rPr>
          <w:rFonts w:ascii="Lato" w:hAnsi="Lato" w:cs="Arial"/>
        </w:rPr>
        <w:t>, girado</w:t>
      </w:r>
      <w:r w:rsidR="00A629F1">
        <w:rPr>
          <w:rFonts w:ascii="Lato" w:hAnsi="Lato" w:cs="Arial"/>
        </w:rPr>
        <w:t xml:space="preserve"> el </w:t>
      </w:r>
      <w:r w:rsidR="001E0A87">
        <w:rPr>
          <w:rFonts w:ascii="Lato" w:hAnsi="Lato" w:cs="Arial"/>
        </w:rPr>
        <w:t>quince</w:t>
      </w:r>
      <w:r w:rsidR="00FD0427">
        <w:rPr>
          <w:rFonts w:ascii="Lato" w:hAnsi="Lato" w:cs="Arial"/>
        </w:rPr>
        <w:t xml:space="preserve"> </w:t>
      </w:r>
      <w:r w:rsidR="009D5743">
        <w:rPr>
          <w:rFonts w:ascii="Lato" w:hAnsi="Lato" w:cs="Arial"/>
        </w:rPr>
        <w:t>de</w:t>
      </w:r>
      <w:r w:rsidR="00432848">
        <w:rPr>
          <w:rFonts w:ascii="Lato" w:hAnsi="Lato" w:cs="Arial"/>
        </w:rPr>
        <w:t xml:space="preserve"> </w:t>
      </w:r>
      <w:r w:rsidR="00AF3105">
        <w:rPr>
          <w:rFonts w:ascii="Lato" w:hAnsi="Lato" w:cs="Arial"/>
        </w:rPr>
        <w:t>octu</w:t>
      </w:r>
      <w:r w:rsidR="00DE379F">
        <w:rPr>
          <w:rFonts w:ascii="Lato" w:hAnsi="Lato" w:cs="Arial"/>
        </w:rPr>
        <w:t>bre</w:t>
      </w:r>
      <w:r w:rsidR="00316369">
        <w:rPr>
          <w:rFonts w:ascii="Lato" w:hAnsi="Lato" w:cs="Arial"/>
        </w:rPr>
        <w:t xml:space="preserve"> del año</w:t>
      </w:r>
      <w:r w:rsidR="00A629F1">
        <w:rPr>
          <w:rFonts w:ascii="Lato" w:hAnsi="Lato" w:cs="Arial"/>
        </w:rPr>
        <w:t xml:space="preserve"> que </w:t>
      </w:r>
      <w:r w:rsidR="00E72E24">
        <w:rPr>
          <w:rFonts w:ascii="Lato" w:hAnsi="Lato" w:cs="Arial"/>
        </w:rPr>
        <w:t>transcurre</w:t>
      </w:r>
      <w:r w:rsidR="00A629F1">
        <w:rPr>
          <w:rFonts w:ascii="Lato" w:hAnsi="Lato" w:cs="Arial"/>
        </w:rPr>
        <w:t>.</w:t>
      </w:r>
    </w:p>
    <w:p w:rsidR="00DF76A5" w:rsidRPr="007A2FA2" w:rsidRDefault="00DF76A5" w:rsidP="00DF76A5">
      <w:pPr>
        <w:spacing w:line="360" w:lineRule="auto"/>
        <w:jc w:val="both"/>
        <w:rPr>
          <w:rFonts w:ascii="Lato" w:hAnsi="Lato" w:cs="Arial"/>
        </w:rPr>
      </w:pPr>
    </w:p>
    <w:p w:rsidR="00DF76A5" w:rsidRDefault="00DF76A5" w:rsidP="00DF76A5">
      <w:pPr>
        <w:spacing w:line="360" w:lineRule="auto"/>
        <w:jc w:val="both"/>
        <w:rPr>
          <w:rFonts w:ascii="Lato" w:hAnsi="Lato" w:cs="Arial"/>
          <w:i/>
        </w:rPr>
      </w:pPr>
      <w:r w:rsidRPr="007A2FA2">
        <w:rPr>
          <w:rFonts w:ascii="Lato" w:hAnsi="Lato" w:cs="Arial"/>
        </w:rPr>
        <w:t>3)</w:t>
      </w:r>
      <w:r w:rsidR="0015302D">
        <w:rPr>
          <w:rFonts w:ascii="Lato" w:hAnsi="Lato" w:cs="Arial"/>
        </w:rPr>
        <w:t xml:space="preserve"> Ante el requerimiento hecho, el</w:t>
      </w:r>
      <w:r w:rsidR="002E11ED">
        <w:rPr>
          <w:rFonts w:ascii="Lato" w:hAnsi="Lato" w:cs="Arial"/>
        </w:rPr>
        <w:t xml:space="preserve"> </w:t>
      </w:r>
      <w:r w:rsidR="006840D7">
        <w:rPr>
          <w:rFonts w:ascii="Lato" w:hAnsi="Lato" w:cs="Arial"/>
        </w:rPr>
        <w:t>Director de la Unidad Jurídica y Asesoría Interna del Poder Judicial</w:t>
      </w:r>
      <w:r w:rsidRPr="007A2FA2">
        <w:rPr>
          <w:rFonts w:ascii="Lato" w:hAnsi="Lato" w:cs="Arial"/>
        </w:rPr>
        <w:t>, por oficio</w:t>
      </w:r>
      <w:r w:rsidR="0015302D">
        <w:rPr>
          <w:rFonts w:ascii="Lato" w:hAnsi="Lato" w:cs="Arial"/>
        </w:rPr>
        <w:t xml:space="preserve"> número</w:t>
      </w:r>
      <w:r w:rsidR="00E1664C">
        <w:rPr>
          <w:rFonts w:ascii="Lato" w:hAnsi="Lato" w:cs="Arial"/>
        </w:rPr>
        <w:t xml:space="preserve"> </w:t>
      </w:r>
      <w:r w:rsidR="006840D7">
        <w:rPr>
          <w:rFonts w:ascii="Lato" w:hAnsi="Lato" w:cs="Arial"/>
        </w:rPr>
        <w:t>DUJAI/PJEBC/775/2017</w:t>
      </w:r>
      <w:r w:rsidR="002E0116">
        <w:rPr>
          <w:rFonts w:ascii="Lato" w:hAnsi="Lato" w:cs="Arial"/>
        </w:rPr>
        <w:t>, de fecha de reci</w:t>
      </w:r>
      <w:r w:rsidR="006840D7">
        <w:rPr>
          <w:rFonts w:ascii="Lato" w:hAnsi="Lato" w:cs="Arial"/>
        </w:rPr>
        <w:t xml:space="preserve">bido </w:t>
      </w:r>
      <w:r w:rsidR="006840D7">
        <w:rPr>
          <w:rFonts w:ascii="Lato" w:hAnsi="Lato" w:cs="Arial"/>
        </w:rPr>
        <w:lastRenderedPageBreak/>
        <w:t>dieciséis</w:t>
      </w:r>
      <w:r w:rsidR="0015302D">
        <w:rPr>
          <w:rFonts w:ascii="Lato" w:hAnsi="Lato" w:cs="Arial"/>
        </w:rPr>
        <w:t xml:space="preserve"> de </w:t>
      </w:r>
      <w:r w:rsidR="002E11ED">
        <w:rPr>
          <w:rFonts w:ascii="Lato" w:hAnsi="Lato" w:cs="Arial"/>
        </w:rPr>
        <w:t>octu</w:t>
      </w:r>
      <w:r w:rsidR="00E1664C">
        <w:rPr>
          <w:rFonts w:ascii="Lato" w:hAnsi="Lato" w:cs="Arial"/>
        </w:rPr>
        <w:t>bre</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Pr="007A2FA2">
        <w:rPr>
          <w:rFonts w:ascii="Lato" w:hAnsi="Lato" w:cs="Arial"/>
        </w:rPr>
        <w:t xml:space="preserve"> </w:t>
      </w:r>
      <w:r w:rsidR="00071BB8" w:rsidRPr="00A26E01">
        <w:rPr>
          <w:rFonts w:ascii="Lato" w:hAnsi="Lato" w:cs="Arial"/>
          <w:i/>
        </w:rPr>
        <w:t>“</w:t>
      </w:r>
      <w:r w:rsidR="007937F7" w:rsidRPr="00A26E01">
        <w:rPr>
          <w:rFonts w:ascii="Lato" w:hAnsi="Lato" w:cs="Arial"/>
          <w:i/>
        </w:rPr>
        <w:t>(</w:t>
      </w:r>
      <w:r w:rsidR="00071BB8" w:rsidRPr="00A26E01">
        <w:rPr>
          <w:rFonts w:ascii="Lato" w:hAnsi="Lato" w:cs="Arial"/>
          <w:i/>
        </w:rPr>
        <w:t>…</w:t>
      </w:r>
      <w:r w:rsidR="007937F7" w:rsidRPr="00A26E01">
        <w:rPr>
          <w:rFonts w:ascii="Lato" w:hAnsi="Lato" w:cs="Arial"/>
          <w:i/>
        </w:rPr>
        <w:t>)</w:t>
      </w:r>
      <w:r w:rsidR="00A26E01">
        <w:rPr>
          <w:rFonts w:ascii="Lato" w:hAnsi="Lato" w:cs="Arial"/>
          <w:i/>
        </w:rPr>
        <w:t xml:space="preserve"> </w:t>
      </w:r>
      <w:r w:rsidR="00DD512C">
        <w:rPr>
          <w:rFonts w:ascii="Lato" w:hAnsi="Lato" w:cs="Arial"/>
          <w:i/>
        </w:rPr>
        <w:t>Esta Unidad Jurídica entregará la información materia de la solicitud, no obstante, es necesario que el área a su digno cargo, de conformidad con lo previsto en el artículo 17 fracciones I y VII de Reglamento para la Transparencia y el Acceso a la Información Pública del Poder Judicial del Estado de Baja California, someta a consideración del Comité de Transparencia, Acceso a la Información y Protección de Datos Personales del Poder Judicial del Estado, el otorgar una prórroga a esta Unidad para el procesamiento y entrega de la información solicitada. Lo anterior, toda vez que el personal de la anterior Unidad Jurídica no llevaba los controles que evidenciaran los datos que solicitan y por ende, se deberá acudir a cada uno de los informes, listados de bajas y expedientes, para poder procesar la información que se requiere por el peticionario</w:t>
      </w:r>
      <w:r w:rsidR="00F4661C">
        <w:rPr>
          <w:rFonts w:ascii="Lato" w:hAnsi="Lato" w:cs="Arial"/>
          <w:i/>
        </w:rPr>
        <w:t xml:space="preserve">. Solicitud de prórroga que se formula, de conformidad con los previsto en el artículo 125 de la Ley de Transparencia y Acceso a la Información Pública para el  Estado de Baja California y 40 del Reglamento citado, a efecto de no incurrir en la causa de responsabilidad prevista en el artículo 160, fracción V, de la citada Ley y evitar que se entregue la información incomprensible o incompleta o sin la debida motivación y fundamentación requerida </w:t>
      </w:r>
      <w:r w:rsidR="00A26E01" w:rsidRPr="00A26E01">
        <w:rPr>
          <w:rFonts w:ascii="Lato" w:hAnsi="Lato" w:cs="Arial"/>
          <w:i/>
        </w:rPr>
        <w:t xml:space="preserve"> (</w:t>
      </w:r>
      <w:r w:rsidR="00EC3CD7" w:rsidRPr="00A26E01">
        <w:rPr>
          <w:rFonts w:ascii="Lato" w:hAnsi="Lato" w:cs="Arial"/>
          <w:i/>
        </w:rPr>
        <w:t>…</w:t>
      </w:r>
      <w:r w:rsidR="00A26E01" w:rsidRPr="00A26E01">
        <w:rPr>
          <w:rFonts w:ascii="Lato" w:hAnsi="Lato" w:cs="Arial"/>
          <w:i/>
        </w:rPr>
        <w:t>)</w:t>
      </w:r>
      <w:r w:rsidR="00EC3CD7" w:rsidRPr="00A26E01">
        <w:rPr>
          <w:rFonts w:ascii="Lato" w:hAnsi="Lato" w:cs="Arial"/>
          <w:i/>
        </w:rPr>
        <w:t>”.</w:t>
      </w:r>
    </w:p>
    <w:p w:rsidR="00135F8E" w:rsidRPr="007937F7" w:rsidRDefault="00135F8E" w:rsidP="00DF76A5">
      <w:pPr>
        <w:spacing w:line="360" w:lineRule="auto"/>
        <w:jc w:val="both"/>
        <w:rPr>
          <w:rFonts w:ascii="Lato" w:hAnsi="Lato" w:cs="Arial"/>
        </w:rPr>
      </w:pPr>
    </w:p>
    <w:p w:rsidR="00071BB8" w:rsidRDefault="00DF76A5" w:rsidP="00DF76A5">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55416">
        <w:rPr>
          <w:rFonts w:ascii="Lato" w:hAnsi="Lato" w:cs="Arial"/>
        </w:rPr>
        <w:t xml:space="preserve"> por el </w:t>
      </w:r>
      <w:r w:rsidR="00AE104C">
        <w:rPr>
          <w:rFonts w:ascii="Lato" w:hAnsi="Lato" w:cs="Arial"/>
        </w:rPr>
        <w:t>Director de la Unidad Jurídica</w:t>
      </w:r>
      <w:r w:rsidR="00FA3E18">
        <w:rPr>
          <w:rFonts w:ascii="Lato" w:hAnsi="Lato" w:cs="Arial"/>
        </w:rPr>
        <w:t>,</w:t>
      </w:r>
      <w:r w:rsidRPr="007A2FA2">
        <w:rPr>
          <w:rFonts w:ascii="Lato" w:hAnsi="Lato" w:cs="Arial"/>
        </w:rPr>
        <w:t xml:space="preserve"> </w:t>
      </w:r>
      <w:r w:rsidR="00FA3E18" w:rsidRPr="00FA3E18">
        <w:rPr>
          <w:rFonts w:ascii="Lato" w:hAnsi="Lato" w:cs="Arial"/>
          <w:b/>
        </w:rPr>
        <w:t>este Comité las estima suficientes</w:t>
      </w:r>
      <w:r w:rsidR="00FA3E18">
        <w:rPr>
          <w:rFonts w:ascii="Lato" w:hAnsi="Lato" w:cs="Arial"/>
          <w:b/>
        </w:rPr>
        <w:t xml:space="preserve"> y justificadas</w:t>
      </w:r>
      <w:r w:rsidR="00FA3E18">
        <w:rPr>
          <w:rFonts w:ascii="Lato" w:hAnsi="Lato" w:cs="Arial"/>
        </w:rPr>
        <w:t xml:space="preserve"> para conceder la ampliación del plazo solicitada, </w:t>
      </w:r>
      <w:r w:rsidRPr="007A2FA2">
        <w:rPr>
          <w:rFonts w:ascii="Lato" w:hAnsi="Lato" w:cs="Arial"/>
        </w:rPr>
        <w:t xml:space="preserve">considerando que </w:t>
      </w:r>
      <w:r w:rsidRPr="007A2FA2">
        <w:rPr>
          <w:rFonts w:ascii="Lato" w:hAnsi="Lato" w:cs="Arial"/>
          <w:b/>
        </w:rPr>
        <w:t>en el caso concreto habrá de atenderse</w:t>
      </w:r>
      <w:r w:rsidRPr="007A2FA2">
        <w:rPr>
          <w:rFonts w:ascii="Lato" w:hAnsi="Lato" w:cs="Arial"/>
        </w:rPr>
        <w:t xml:space="preserve"> 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ulta pertinente que la área</w:t>
      </w:r>
      <w:r w:rsidR="00237FE7">
        <w:rPr>
          <w:rFonts w:ascii="Lato" w:hAnsi="Lato" w:cs="Arial"/>
        </w:rPr>
        <w:t xml:space="preserve"> antes mencionada,</w:t>
      </w:r>
      <w:r w:rsidRPr="007A2FA2">
        <w:rPr>
          <w:rFonts w:ascii="Lato" w:hAnsi="Lato" w:cs="Arial"/>
        </w:rPr>
        <w:t xml:space="preserve"> </w:t>
      </w:r>
      <w:r w:rsidRPr="007A2FA2">
        <w:rPr>
          <w:rFonts w:ascii="Lato" w:hAnsi="Lato" w:cs="Arial"/>
          <w:b/>
        </w:rPr>
        <w:t xml:space="preserve">realice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aquella que esté disponible para colmar el derecho de acceso a la información pública del peticionario</w:t>
      </w:r>
      <w:r w:rsidR="004C0187">
        <w:rPr>
          <w:rFonts w:ascii="Lato" w:hAnsi="Lato" w:cs="Arial"/>
          <w:b/>
        </w:rPr>
        <w:t>, a los datos solicitado</w:t>
      </w:r>
      <w:r w:rsidR="00C660AF">
        <w:rPr>
          <w:rFonts w:ascii="Lato" w:hAnsi="Lato" w:cs="Arial"/>
          <w:b/>
        </w:rPr>
        <w:t>s</w:t>
      </w:r>
      <w:r w:rsidR="004C0187">
        <w:rPr>
          <w:rFonts w:ascii="Lato" w:hAnsi="Lato" w:cs="Arial"/>
          <w:b/>
        </w:rPr>
        <w:t xml:space="preserve"> y previo análisis, determinar la posibilidad de entregarla por ser pública o de declarar en su caso su inexistencia</w:t>
      </w:r>
      <w:r w:rsidRPr="007A2FA2">
        <w:rPr>
          <w:rFonts w:ascii="Lato" w:hAnsi="Lato" w:cs="Arial"/>
        </w:rPr>
        <w:t>, 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w:t>
      </w:r>
      <w:r w:rsidRPr="007A2FA2">
        <w:rPr>
          <w:rFonts w:ascii="Lato" w:hAnsi="Lato" w:cs="Arial"/>
        </w:rPr>
        <w:lastRenderedPageBreak/>
        <w:t xml:space="preserve">materia de documentar todo acto que derive del ejercicio de dichas facultades, competencias o funciones, o demostrar lo contrario como se asienta en el artículo 14 mencionado. </w:t>
      </w:r>
    </w:p>
    <w:p w:rsidR="00FB1875" w:rsidRDefault="00FB1875"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 solicitud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aprobarse la ampliación de plazo solicitada </w:t>
      </w:r>
      <w:r w:rsidR="00DF76A5" w:rsidRPr="007A2FA2">
        <w:rPr>
          <w:rFonts w:ascii="Lato" w:hAnsi="Lato" w:cs="Arial"/>
        </w:rPr>
        <w:t xml:space="preserve">por la autoridad mencionada, </w:t>
      </w:r>
      <w:r w:rsidR="00E435A2">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del plazo original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el área competente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determine la  posibilidad de entregarla por ser pública</w:t>
      </w:r>
      <w:r w:rsidR="00FB1875">
        <w:rPr>
          <w:rFonts w:ascii="Lato" w:hAnsi="Lato" w:cs="Arial"/>
          <w:b/>
        </w:rPr>
        <w:t>,</w:t>
      </w:r>
      <w:r w:rsidR="002658C0">
        <w:rPr>
          <w:rFonts w:ascii="Lato" w:hAnsi="Lato" w:cs="Arial"/>
          <w:b/>
        </w:rPr>
        <w:t xml:space="preserve"> 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7A2FA2" w:rsidRDefault="00DF76A5" w:rsidP="00DF76A5">
      <w:pPr>
        <w:spacing w:line="360" w:lineRule="auto"/>
        <w:jc w:val="both"/>
        <w:rPr>
          <w:rFonts w:ascii="Lato" w:hAnsi="Lato" w:cs="Arial"/>
          <w:b/>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al 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por conducto de la Unidad de Transparencia</w:t>
      </w:r>
      <w:r w:rsidR="00C97627">
        <w:rPr>
          <w:rFonts w:ascii="Lato" w:hAnsi="Lato" w:cs="Arial"/>
        </w:rPr>
        <w:t>,</w:t>
      </w:r>
      <w:r w:rsidR="00FB44F2">
        <w:rPr>
          <w:rFonts w:ascii="Lato" w:hAnsi="Lato" w:cs="Arial"/>
        </w:rPr>
        <w:t xml:space="preserve"> </w:t>
      </w:r>
      <w:r w:rsidR="00E86187">
        <w:rPr>
          <w:rFonts w:ascii="Lato" w:hAnsi="Lato" w:cs="Arial"/>
          <w:b/>
        </w:rPr>
        <w:t>al órgano</w:t>
      </w:r>
      <w:r w:rsidR="0050038F" w:rsidRPr="00FA3E18">
        <w:rPr>
          <w:rFonts w:ascii="Lato" w:hAnsi="Lato" w:cs="Arial"/>
          <w:b/>
        </w:rPr>
        <w:t xml:space="preserve"> ya indicado</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 para remitir la respuesta a la Unidad de Transparencia, para su procesamiento, entrega y notificación al solicitante.</w:t>
      </w:r>
      <w:r w:rsidRPr="007A2FA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2E019F">
        <w:rPr>
          <w:rFonts w:ascii="Lato" w:hAnsi="Lato" w:cs="Arial"/>
        </w:rPr>
        <w:t>as cator</w:t>
      </w:r>
      <w:r w:rsidR="00B75A5E">
        <w:rPr>
          <w:rFonts w:ascii="Lato" w:hAnsi="Lato" w:cs="Arial"/>
        </w:rPr>
        <w:t xml:space="preserve">ce horas del día </w:t>
      </w:r>
      <w:r w:rsidR="00F03D79">
        <w:rPr>
          <w:rFonts w:ascii="Lato" w:hAnsi="Lato" w:cs="Arial"/>
        </w:rPr>
        <w:t>diecisiete</w:t>
      </w:r>
      <w:r w:rsidR="002E019F">
        <w:rPr>
          <w:rFonts w:ascii="Lato" w:hAnsi="Lato" w:cs="Arial"/>
        </w:rPr>
        <w:t xml:space="preserve">  de octu</w:t>
      </w:r>
      <w:r w:rsidR="00B75A5E">
        <w:rPr>
          <w:rFonts w:ascii="Lato" w:hAnsi="Lato" w:cs="Arial"/>
        </w:rPr>
        <w:t>bre</w:t>
      </w:r>
      <w:r w:rsidRPr="007A2FA2">
        <w:rPr>
          <w:rFonts w:ascii="Lato" w:hAnsi="Lato" w:cs="Arial"/>
        </w:rPr>
        <w:t xml:space="preserve"> de 2018.</w:t>
      </w:r>
    </w:p>
    <w:p w:rsidR="00DF76A5" w:rsidRPr="007A2FA2" w:rsidRDefault="00DF76A5" w:rsidP="00DF76A5">
      <w:pPr>
        <w:jc w:val="center"/>
        <w:rPr>
          <w:rFonts w:ascii="Lato" w:hAnsi="Lato" w:cs="Arial"/>
          <w:bCs/>
        </w:rPr>
      </w:pPr>
    </w:p>
    <w:p w:rsidR="00730719" w:rsidRPr="007A2FA2" w:rsidRDefault="00730719" w:rsidP="00DF76A5">
      <w:pPr>
        <w:jc w:val="center"/>
        <w:rPr>
          <w:rFonts w:ascii="Lato" w:hAnsi="Lato" w:cs="Arial"/>
          <w:bCs/>
        </w:rPr>
      </w:pPr>
    </w:p>
    <w:p w:rsidR="004108AE" w:rsidRDefault="004108AE" w:rsidP="00DF76A5">
      <w:pPr>
        <w:jc w:val="center"/>
        <w:rPr>
          <w:rFonts w:ascii="Lato" w:hAnsi="Lato" w:cs="Arial"/>
          <w:bCs/>
        </w:rPr>
      </w:pPr>
    </w:p>
    <w:p w:rsidR="004108AE" w:rsidRDefault="004108AE" w:rsidP="00DF76A5">
      <w:pPr>
        <w:jc w:val="center"/>
        <w:rPr>
          <w:rFonts w:ascii="Lato" w:hAnsi="Lato" w:cs="Arial"/>
          <w:bCs/>
        </w:rPr>
      </w:pPr>
    </w:p>
    <w:p w:rsidR="004108AE" w:rsidRPr="007A2FA2" w:rsidRDefault="004108AE" w:rsidP="00DF76A5">
      <w:pPr>
        <w:jc w:val="center"/>
        <w:rPr>
          <w:rFonts w:ascii="Lato" w:hAnsi="Lato" w:cs="Arial"/>
          <w:bCs/>
        </w:rPr>
      </w:pPr>
    </w:p>
    <w:p w:rsidR="00FB1875" w:rsidRDefault="00FB187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Default="00D20A65" w:rsidP="00D20A6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Default="00D20A65" w:rsidP="00D20A65">
      <w:pPr>
        <w:jc w:val="center"/>
        <w:rPr>
          <w:rFonts w:ascii="Lato" w:hAnsi="Lato" w:cs="Arial"/>
          <w:bCs/>
        </w:rPr>
      </w:pPr>
    </w:p>
    <w:p w:rsidR="00D20A65" w:rsidRPr="007A2FA2" w:rsidRDefault="00D20A65" w:rsidP="00D20A65">
      <w:pPr>
        <w:jc w:val="center"/>
        <w:rPr>
          <w:rFonts w:ascii="Lato" w:hAnsi="Lato" w:cs="Arial"/>
          <w:bCs/>
        </w:rPr>
      </w:pPr>
    </w:p>
    <w:p w:rsidR="00D20A65" w:rsidRDefault="00D20A65" w:rsidP="00D20A6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75" w:rsidRDefault="00E44E75" w:rsidP="00CC10D2">
      <w:r>
        <w:separator/>
      </w:r>
    </w:p>
  </w:endnote>
  <w:endnote w:type="continuationSeparator" w:id="0">
    <w:p w:rsidR="00E44E75" w:rsidRDefault="00E44E75"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Extraordinaria 34</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66007" w:rsidRPr="00DA524A">
            <w:rPr>
              <w:rFonts w:ascii="Lato" w:hAnsi="Lato" w:cs="Arial"/>
            </w:rPr>
            <w:fldChar w:fldCharType="begin"/>
          </w:r>
          <w:r w:rsidRPr="00DA524A">
            <w:rPr>
              <w:rFonts w:ascii="Lato" w:hAnsi="Lato" w:cs="Arial"/>
            </w:rPr>
            <w:instrText xml:space="preserve"> PAGE   \* MERGEFORMAT </w:instrText>
          </w:r>
          <w:r w:rsidR="00766007" w:rsidRPr="00DA524A">
            <w:rPr>
              <w:rFonts w:ascii="Lato" w:hAnsi="Lato" w:cs="Arial"/>
            </w:rPr>
            <w:fldChar w:fldCharType="separate"/>
          </w:r>
          <w:r w:rsidR="00371556">
            <w:rPr>
              <w:rFonts w:ascii="Lato" w:hAnsi="Lato" w:cs="Arial"/>
              <w:noProof/>
            </w:rPr>
            <w:t>2</w:t>
          </w:r>
          <w:r w:rsidR="00766007" w:rsidRPr="00DA524A">
            <w:rPr>
              <w:rFonts w:ascii="Lato" w:hAnsi="Lato" w:cs="Arial"/>
            </w:rPr>
            <w:fldChar w:fldCharType="end"/>
          </w:r>
          <w:r w:rsidRPr="00DA524A">
            <w:rPr>
              <w:rFonts w:ascii="Lato" w:hAnsi="Lato" w:cs="Arial"/>
            </w:rPr>
            <w:t xml:space="preserve"> de </w:t>
          </w:r>
          <w:fldSimple w:instr=" NUMPAGES   \* MERGEFORMAT ">
            <w:r w:rsidR="00371556" w:rsidRPr="00371556">
              <w:rPr>
                <w:rFonts w:ascii="Lato" w:hAnsi="Lato" w:cs="Arial"/>
                <w:noProof/>
              </w:rPr>
              <w:t>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9E7396">
            <w:rPr>
              <w:rFonts w:ascii="Lato" w:hAnsi="Lato" w:cs="Arial"/>
            </w:rPr>
            <w:t>va a la Sesión Extraordinaria 34</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766007" w:rsidRPr="00DA524A">
            <w:rPr>
              <w:rFonts w:ascii="Lato" w:hAnsi="Lato" w:cs="Arial"/>
            </w:rPr>
            <w:fldChar w:fldCharType="begin"/>
          </w:r>
          <w:r w:rsidRPr="00DA524A">
            <w:rPr>
              <w:rFonts w:ascii="Lato" w:hAnsi="Lato" w:cs="Arial"/>
            </w:rPr>
            <w:instrText xml:space="preserve"> PAGE   \* MERGEFORMAT </w:instrText>
          </w:r>
          <w:r w:rsidR="00766007" w:rsidRPr="00DA524A">
            <w:rPr>
              <w:rFonts w:ascii="Lato" w:hAnsi="Lato" w:cs="Arial"/>
            </w:rPr>
            <w:fldChar w:fldCharType="separate"/>
          </w:r>
          <w:r w:rsidR="00371556">
            <w:rPr>
              <w:rFonts w:ascii="Lato" w:hAnsi="Lato" w:cs="Arial"/>
              <w:noProof/>
            </w:rPr>
            <w:t>1</w:t>
          </w:r>
          <w:r w:rsidR="00766007" w:rsidRPr="00DA524A">
            <w:rPr>
              <w:rFonts w:ascii="Lato" w:hAnsi="Lato" w:cs="Arial"/>
            </w:rPr>
            <w:fldChar w:fldCharType="end"/>
          </w:r>
          <w:r w:rsidRPr="00DA524A">
            <w:rPr>
              <w:rFonts w:ascii="Lato" w:hAnsi="Lato" w:cs="Arial"/>
            </w:rPr>
            <w:t xml:space="preserve"> de </w:t>
          </w:r>
          <w:fldSimple w:instr=" NUMPAGES   \* MERGEFORMAT ">
            <w:r w:rsidR="00371556" w:rsidRPr="00371556">
              <w:rPr>
                <w:rFonts w:ascii="Lato" w:hAnsi="Lato" w:cs="Arial"/>
                <w:noProof/>
              </w:rPr>
              <w:t>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75" w:rsidRDefault="00E44E75" w:rsidP="00CC10D2">
      <w:r>
        <w:separator/>
      </w:r>
    </w:p>
  </w:footnote>
  <w:footnote w:type="continuationSeparator" w:id="0">
    <w:p w:rsidR="00E44E75" w:rsidRDefault="00E44E75"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47466"/>
    <w:rsid w:val="00053985"/>
    <w:rsid w:val="00061D6B"/>
    <w:rsid w:val="00062F1D"/>
    <w:rsid w:val="00063D1C"/>
    <w:rsid w:val="00071BB8"/>
    <w:rsid w:val="0007627B"/>
    <w:rsid w:val="00083201"/>
    <w:rsid w:val="000B59D9"/>
    <w:rsid w:val="000C6F93"/>
    <w:rsid w:val="000D6DBF"/>
    <w:rsid w:val="000E5BC3"/>
    <w:rsid w:val="000E6C79"/>
    <w:rsid w:val="000F3117"/>
    <w:rsid w:val="000F58C6"/>
    <w:rsid w:val="001229AA"/>
    <w:rsid w:val="001238C8"/>
    <w:rsid w:val="001325E3"/>
    <w:rsid w:val="001330D8"/>
    <w:rsid w:val="00133AE3"/>
    <w:rsid w:val="001348B2"/>
    <w:rsid w:val="00135F8E"/>
    <w:rsid w:val="0015302D"/>
    <w:rsid w:val="001611BC"/>
    <w:rsid w:val="001675E3"/>
    <w:rsid w:val="001C5269"/>
    <w:rsid w:val="001D04F4"/>
    <w:rsid w:val="001E0A87"/>
    <w:rsid w:val="001E1D0F"/>
    <w:rsid w:val="001E46D1"/>
    <w:rsid w:val="001E59A6"/>
    <w:rsid w:val="001E6750"/>
    <w:rsid w:val="001F2757"/>
    <w:rsid w:val="00217653"/>
    <w:rsid w:val="0023379E"/>
    <w:rsid w:val="00237FE7"/>
    <w:rsid w:val="0024101F"/>
    <w:rsid w:val="00251226"/>
    <w:rsid w:val="00251CBC"/>
    <w:rsid w:val="00256137"/>
    <w:rsid w:val="00261D85"/>
    <w:rsid w:val="002658C0"/>
    <w:rsid w:val="00271B0C"/>
    <w:rsid w:val="00273B1D"/>
    <w:rsid w:val="002806FF"/>
    <w:rsid w:val="00297C33"/>
    <w:rsid w:val="002A516B"/>
    <w:rsid w:val="002A72FC"/>
    <w:rsid w:val="002B5988"/>
    <w:rsid w:val="002B7CE1"/>
    <w:rsid w:val="002C7CB8"/>
    <w:rsid w:val="002D196E"/>
    <w:rsid w:val="002D5686"/>
    <w:rsid w:val="002E0116"/>
    <w:rsid w:val="002E019F"/>
    <w:rsid w:val="002E11ED"/>
    <w:rsid w:val="002E15ED"/>
    <w:rsid w:val="002F09DC"/>
    <w:rsid w:val="002F0ED6"/>
    <w:rsid w:val="002F12BE"/>
    <w:rsid w:val="00311E94"/>
    <w:rsid w:val="00311F36"/>
    <w:rsid w:val="00316369"/>
    <w:rsid w:val="0033132C"/>
    <w:rsid w:val="00331BE6"/>
    <w:rsid w:val="00343754"/>
    <w:rsid w:val="003519B7"/>
    <w:rsid w:val="003658D9"/>
    <w:rsid w:val="00367D01"/>
    <w:rsid w:val="00371556"/>
    <w:rsid w:val="00385B68"/>
    <w:rsid w:val="00387157"/>
    <w:rsid w:val="00397E4C"/>
    <w:rsid w:val="003A6885"/>
    <w:rsid w:val="003A7045"/>
    <w:rsid w:val="003B2854"/>
    <w:rsid w:val="003B72C7"/>
    <w:rsid w:val="003C30F1"/>
    <w:rsid w:val="003E1909"/>
    <w:rsid w:val="003F0846"/>
    <w:rsid w:val="0040466C"/>
    <w:rsid w:val="004108AE"/>
    <w:rsid w:val="00432848"/>
    <w:rsid w:val="0043380F"/>
    <w:rsid w:val="00445058"/>
    <w:rsid w:val="00467770"/>
    <w:rsid w:val="00472CC9"/>
    <w:rsid w:val="00474D4D"/>
    <w:rsid w:val="00490810"/>
    <w:rsid w:val="004A2A3A"/>
    <w:rsid w:val="004C0187"/>
    <w:rsid w:val="004D2D18"/>
    <w:rsid w:val="004E4631"/>
    <w:rsid w:val="004F5386"/>
    <w:rsid w:val="004F700D"/>
    <w:rsid w:val="004F7B48"/>
    <w:rsid w:val="0050038F"/>
    <w:rsid w:val="00503DA5"/>
    <w:rsid w:val="0050644E"/>
    <w:rsid w:val="005070F2"/>
    <w:rsid w:val="0051010A"/>
    <w:rsid w:val="005157B0"/>
    <w:rsid w:val="005357C8"/>
    <w:rsid w:val="0055409E"/>
    <w:rsid w:val="005A4870"/>
    <w:rsid w:val="005B5910"/>
    <w:rsid w:val="0060496B"/>
    <w:rsid w:val="00607CC2"/>
    <w:rsid w:val="006208CB"/>
    <w:rsid w:val="00620E2D"/>
    <w:rsid w:val="00640507"/>
    <w:rsid w:val="00640D3C"/>
    <w:rsid w:val="00642A6E"/>
    <w:rsid w:val="006438BE"/>
    <w:rsid w:val="006475F0"/>
    <w:rsid w:val="0066482F"/>
    <w:rsid w:val="00671E47"/>
    <w:rsid w:val="00672F3D"/>
    <w:rsid w:val="006840D7"/>
    <w:rsid w:val="00686C4B"/>
    <w:rsid w:val="00691712"/>
    <w:rsid w:val="00702082"/>
    <w:rsid w:val="00705936"/>
    <w:rsid w:val="007071B0"/>
    <w:rsid w:val="00713670"/>
    <w:rsid w:val="0071662E"/>
    <w:rsid w:val="00716AD1"/>
    <w:rsid w:val="00730719"/>
    <w:rsid w:val="0073441C"/>
    <w:rsid w:val="007356C3"/>
    <w:rsid w:val="00737E4C"/>
    <w:rsid w:val="00757129"/>
    <w:rsid w:val="00766007"/>
    <w:rsid w:val="0078311C"/>
    <w:rsid w:val="0078628F"/>
    <w:rsid w:val="007903E0"/>
    <w:rsid w:val="007937F7"/>
    <w:rsid w:val="007A7B81"/>
    <w:rsid w:val="007B04A9"/>
    <w:rsid w:val="007B5C82"/>
    <w:rsid w:val="007F2222"/>
    <w:rsid w:val="00803B71"/>
    <w:rsid w:val="00806B7E"/>
    <w:rsid w:val="00807264"/>
    <w:rsid w:val="00833199"/>
    <w:rsid w:val="008338DC"/>
    <w:rsid w:val="00843284"/>
    <w:rsid w:val="0086420D"/>
    <w:rsid w:val="00872D29"/>
    <w:rsid w:val="008765F6"/>
    <w:rsid w:val="00890668"/>
    <w:rsid w:val="0089138E"/>
    <w:rsid w:val="00894996"/>
    <w:rsid w:val="008A04DF"/>
    <w:rsid w:val="008A1794"/>
    <w:rsid w:val="008C2B10"/>
    <w:rsid w:val="008E637B"/>
    <w:rsid w:val="008F3A11"/>
    <w:rsid w:val="00912682"/>
    <w:rsid w:val="00920EF1"/>
    <w:rsid w:val="009236BE"/>
    <w:rsid w:val="00934328"/>
    <w:rsid w:val="009667D9"/>
    <w:rsid w:val="00976A08"/>
    <w:rsid w:val="009A3124"/>
    <w:rsid w:val="009D065E"/>
    <w:rsid w:val="009D285C"/>
    <w:rsid w:val="009D5743"/>
    <w:rsid w:val="009D6A30"/>
    <w:rsid w:val="009E2971"/>
    <w:rsid w:val="009E40BD"/>
    <w:rsid w:val="009E7396"/>
    <w:rsid w:val="00A1042A"/>
    <w:rsid w:val="00A13591"/>
    <w:rsid w:val="00A14909"/>
    <w:rsid w:val="00A26E01"/>
    <w:rsid w:val="00A33EC8"/>
    <w:rsid w:val="00A430B9"/>
    <w:rsid w:val="00A629F1"/>
    <w:rsid w:val="00A756ED"/>
    <w:rsid w:val="00AB6672"/>
    <w:rsid w:val="00AB79DC"/>
    <w:rsid w:val="00AE104C"/>
    <w:rsid w:val="00AF227B"/>
    <w:rsid w:val="00AF3105"/>
    <w:rsid w:val="00B30521"/>
    <w:rsid w:val="00B47210"/>
    <w:rsid w:val="00B473B3"/>
    <w:rsid w:val="00B63DC7"/>
    <w:rsid w:val="00B75A5E"/>
    <w:rsid w:val="00BA36F3"/>
    <w:rsid w:val="00BA7BBD"/>
    <w:rsid w:val="00BE1241"/>
    <w:rsid w:val="00BE5895"/>
    <w:rsid w:val="00C10A30"/>
    <w:rsid w:val="00C175EA"/>
    <w:rsid w:val="00C25C7D"/>
    <w:rsid w:val="00C329C9"/>
    <w:rsid w:val="00C45056"/>
    <w:rsid w:val="00C523C4"/>
    <w:rsid w:val="00C63C55"/>
    <w:rsid w:val="00C64449"/>
    <w:rsid w:val="00C660AF"/>
    <w:rsid w:val="00C7162C"/>
    <w:rsid w:val="00C870B5"/>
    <w:rsid w:val="00C92ADA"/>
    <w:rsid w:val="00C97627"/>
    <w:rsid w:val="00CA1574"/>
    <w:rsid w:val="00CA4BE4"/>
    <w:rsid w:val="00CA6485"/>
    <w:rsid w:val="00CC10D2"/>
    <w:rsid w:val="00CE78CA"/>
    <w:rsid w:val="00CF1ABD"/>
    <w:rsid w:val="00D05C07"/>
    <w:rsid w:val="00D20A65"/>
    <w:rsid w:val="00D3009D"/>
    <w:rsid w:val="00D31A6A"/>
    <w:rsid w:val="00D332B3"/>
    <w:rsid w:val="00D535D5"/>
    <w:rsid w:val="00D55416"/>
    <w:rsid w:val="00D87758"/>
    <w:rsid w:val="00D9124A"/>
    <w:rsid w:val="00D96376"/>
    <w:rsid w:val="00D96599"/>
    <w:rsid w:val="00DA524A"/>
    <w:rsid w:val="00DA5275"/>
    <w:rsid w:val="00DB58AE"/>
    <w:rsid w:val="00DC3364"/>
    <w:rsid w:val="00DC6D0F"/>
    <w:rsid w:val="00DD512C"/>
    <w:rsid w:val="00DD711C"/>
    <w:rsid w:val="00DE379F"/>
    <w:rsid w:val="00DE58B1"/>
    <w:rsid w:val="00DF76A5"/>
    <w:rsid w:val="00E1664C"/>
    <w:rsid w:val="00E22003"/>
    <w:rsid w:val="00E22361"/>
    <w:rsid w:val="00E3210D"/>
    <w:rsid w:val="00E435A2"/>
    <w:rsid w:val="00E44E75"/>
    <w:rsid w:val="00E50918"/>
    <w:rsid w:val="00E72E24"/>
    <w:rsid w:val="00E73129"/>
    <w:rsid w:val="00E82032"/>
    <w:rsid w:val="00E829D3"/>
    <w:rsid w:val="00E8536E"/>
    <w:rsid w:val="00E86187"/>
    <w:rsid w:val="00E95217"/>
    <w:rsid w:val="00EA2C81"/>
    <w:rsid w:val="00EB20A0"/>
    <w:rsid w:val="00EB3E15"/>
    <w:rsid w:val="00EB7052"/>
    <w:rsid w:val="00EC3CD7"/>
    <w:rsid w:val="00EC794D"/>
    <w:rsid w:val="00EE19C5"/>
    <w:rsid w:val="00EE19FB"/>
    <w:rsid w:val="00EF3EF5"/>
    <w:rsid w:val="00EF54A8"/>
    <w:rsid w:val="00F03D79"/>
    <w:rsid w:val="00F14644"/>
    <w:rsid w:val="00F17A58"/>
    <w:rsid w:val="00F27B98"/>
    <w:rsid w:val="00F33E61"/>
    <w:rsid w:val="00F4334D"/>
    <w:rsid w:val="00F438E9"/>
    <w:rsid w:val="00F4539C"/>
    <w:rsid w:val="00F4661C"/>
    <w:rsid w:val="00F63BFE"/>
    <w:rsid w:val="00F82004"/>
    <w:rsid w:val="00F82D8F"/>
    <w:rsid w:val="00F865FE"/>
    <w:rsid w:val="00F86805"/>
    <w:rsid w:val="00F9104E"/>
    <w:rsid w:val="00F91647"/>
    <w:rsid w:val="00F93103"/>
    <w:rsid w:val="00F932C2"/>
    <w:rsid w:val="00F97456"/>
    <w:rsid w:val="00FA3E18"/>
    <w:rsid w:val="00FB1875"/>
    <w:rsid w:val="00FB44F2"/>
    <w:rsid w:val="00FB53CD"/>
    <w:rsid w:val="00FB652B"/>
    <w:rsid w:val="00FB71F0"/>
    <w:rsid w:val="00FD0427"/>
    <w:rsid w:val="00FD3709"/>
    <w:rsid w:val="00FD5136"/>
    <w:rsid w:val="00FE24DC"/>
    <w:rsid w:val="00FE400C"/>
    <w:rsid w:val="00FE4CAA"/>
    <w:rsid w:val="00FF3C4B"/>
    <w:rsid w:val="00FF533E"/>
    <w:rsid w:val="00FF5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C61A1-B4B0-4042-8586-9273367E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1488</Words>
  <Characters>8189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2018-10-17T17:37:00Z</cp:lastPrinted>
  <dcterms:created xsi:type="dcterms:W3CDTF">2018-10-17T16:40:00Z</dcterms:created>
  <dcterms:modified xsi:type="dcterms:W3CDTF">2018-10-17T17:50:00Z</dcterms:modified>
</cp:coreProperties>
</file>