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757BE7">
        <w:rPr>
          <w:rFonts w:ascii="Lato" w:hAnsi="Lato" w:cs="Arial"/>
          <w:b/>
        </w:rPr>
        <w:t>0</w:t>
      </w:r>
      <w:r w:rsidR="007044EF">
        <w:rPr>
          <w:rFonts w:ascii="Lato" w:hAnsi="Lato" w:cs="Arial"/>
          <w:b/>
        </w:rPr>
        <w:t>1</w:t>
      </w:r>
      <w:r w:rsidRPr="00762A70">
        <w:rPr>
          <w:rFonts w:ascii="Lato" w:hAnsi="Lato" w:cs="Arial"/>
          <w:b/>
        </w:rPr>
        <w:t>/</w:t>
      </w:r>
      <w:r w:rsidR="00D94EDA" w:rsidRPr="00762A70">
        <w:rPr>
          <w:rFonts w:ascii="Lato" w:hAnsi="Lato" w:cs="Arial"/>
          <w:b/>
        </w:rPr>
        <w:t>20</w:t>
      </w:r>
      <w:r w:rsidR="001406BE">
        <w:rPr>
          <w:rFonts w:ascii="Lato" w:hAnsi="Lato" w:cs="Arial"/>
          <w:b/>
        </w:rPr>
        <w:t>2</w:t>
      </w:r>
      <w:r w:rsidR="00757BE7">
        <w:rPr>
          <w:rFonts w:ascii="Lato" w:hAnsi="Lato" w:cs="Arial"/>
          <w:b/>
        </w:rPr>
        <w:t>1</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757BE7">
        <w:rPr>
          <w:rFonts w:ascii="Lato" w:hAnsi="Lato" w:cs="Arial"/>
        </w:rPr>
        <w:t>trece</w:t>
      </w:r>
      <w:r w:rsidR="00F435EF">
        <w:rPr>
          <w:rFonts w:ascii="Lato" w:hAnsi="Lato" w:cs="Arial"/>
        </w:rPr>
        <w:t xml:space="preserve"> d</w:t>
      </w:r>
      <w:r w:rsidR="00B1162C">
        <w:rPr>
          <w:rFonts w:ascii="Lato" w:hAnsi="Lato" w:cs="Arial"/>
        </w:rPr>
        <w:t xml:space="preserve">e </w:t>
      </w:r>
      <w:r w:rsidR="00757BE7">
        <w:rPr>
          <w:rFonts w:ascii="Lato" w:hAnsi="Lato" w:cs="Arial"/>
        </w:rPr>
        <w:t>enero</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w:t>
      </w:r>
      <w:r w:rsidR="00757BE7">
        <w:rPr>
          <w:rFonts w:ascii="Lato" w:hAnsi="Lato" w:cs="Arial"/>
        </w:rPr>
        <w:t>iuno</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D90066" w:rsidRPr="00762A70">
        <w:rPr>
          <w:rFonts w:ascii="Lato" w:hAnsi="Lato" w:cs="Arial"/>
        </w:rPr>
        <w:t xml:space="preserve">Magistrado </w:t>
      </w:r>
      <w:r w:rsidR="004A2E68">
        <w:rPr>
          <w:rFonts w:ascii="Lato" w:hAnsi="Lato" w:cs="Arial"/>
        </w:rPr>
        <w:t xml:space="preserve">Alejandro Isaac Fragozo López, </w:t>
      </w:r>
      <w:r w:rsidR="00E87579">
        <w:rPr>
          <w:rFonts w:ascii="Lato" w:hAnsi="Lato" w:cs="Arial"/>
        </w:rPr>
        <w:t xml:space="preserve">quien preside el Comité, </w:t>
      </w:r>
      <w:r w:rsidR="00EF7D60">
        <w:rPr>
          <w:rFonts w:ascii="Lato" w:hAnsi="Lato" w:cs="Arial"/>
        </w:rPr>
        <w:t xml:space="preserve">el Magistrado Nelson Alonso Kim Salas, </w:t>
      </w:r>
      <w:r w:rsidR="00D0357D">
        <w:rPr>
          <w:rFonts w:ascii="Lato" w:hAnsi="Lato" w:cs="Arial"/>
        </w:rPr>
        <w:t>a</w:t>
      </w:r>
      <w:r w:rsidR="00FF17F0">
        <w:rPr>
          <w:rFonts w:ascii="Lato" w:hAnsi="Lato" w:cs="Arial"/>
        </w:rPr>
        <w:t xml:space="preserve">dscrito a la Cuarta Sala del Tribunal Superior de Justicia del Estado, </w:t>
      </w:r>
      <w:r w:rsidR="002E5AE8">
        <w:rPr>
          <w:rFonts w:ascii="Lato" w:hAnsi="Lato" w:cs="Arial"/>
        </w:rPr>
        <w:t xml:space="preserve">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EF7D60">
        <w:rPr>
          <w:rFonts w:ascii="Lato" w:hAnsi="Lato" w:cs="Arial"/>
        </w:rPr>
        <w:t>a</w:t>
      </w:r>
      <w:r w:rsidR="002E5AE8">
        <w:rPr>
          <w:rFonts w:ascii="Lato" w:hAnsi="Lato" w:cs="Arial"/>
        </w:rPr>
        <w:t xml:space="preserve"> Públic</w:t>
      </w:r>
      <w:r w:rsidR="00EF7D60">
        <w:rPr>
          <w:rFonts w:ascii="Lato" w:hAnsi="Lato" w:cs="Arial"/>
        </w:rPr>
        <w:t>a</w:t>
      </w:r>
      <w:r w:rsidR="002E5AE8">
        <w:rPr>
          <w:rFonts w:ascii="Lato" w:hAnsi="Lato" w:cs="Arial"/>
        </w:rPr>
        <w:t xml:space="preserve"> </w:t>
      </w:r>
      <w:r w:rsidR="00EF7D60">
        <w:rPr>
          <w:rFonts w:ascii="Lato" w:hAnsi="Lato" w:cs="Arial"/>
        </w:rPr>
        <w:t xml:space="preserve">Rosa </w:t>
      </w:r>
      <w:r w:rsidR="00F435EF">
        <w:rPr>
          <w:rFonts w:ascii="Lato" w:hAnsi="Lato" w:cs="Arial"/>
        </w:rPr>
        <w:t xml:space="preserve">María </w:t>
      </w:r>
      <w:r w:rsidR="00EF7D60">
        <w:rPr>
          <w:rFonts w:ascii="Lato" w:hAnsi="Lato" w:cs="Arial"/>
        </w:rPr>
        <w:t>Ibarra Osuna,</w:t>
      </w:r>
      <w:r w:rsidRPr="00762A70">
        <w:rPr>
          <w:rFonts w:ascii="Lato" w:hAnsi="Lato" w:cs="Arial"/>
        </w:rPr>
        <w:t xml:space="preserve"> el Director de la Unidad Jurídica y Asesoría Interna, Licenciado </w:t>
      </w:r>
      <w:r w:rsidR="00F435EF">
        <w:rPr>
          <w:rFonts w:ascii="Lato" w:hAnsi="Lato" w:cs="Arial"/>
        </w:rPr>
        <w:t>Vicente de Santiago Donmiguel</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757BE7">
        <w:rPr>
          <w:rFonts w:ascii="Lato" w:hAnsi="Lato" w:cs="Arial"/>
        </w:rPr>
        <w:t>0</w:t>
      </w:r>
      <w:r w:rsidR="007044EF">
        <w:rPr>
          <w:rFonts w:ascii="Lato" w:hAnsi="Lato" w:cs="Arial"/>
        </w:rPr>
        <w:t>1</w:t>
      </w:r>
      <w:r w:rsidRPr="00762A70">
        <w:rPr>
          <w:rFonts w:ascii="Lato" w:hAnsi="Lato" w:cs="Arial"/>
        </w:rPr>
        <w:t>/</w:t>
      </w:r>
      <w:r w:rsidR="00D94EDA" w:rsidRPr="00762A70">
        <w:rPr>
          <w:rFonts w:ascii="Lato" w:hAnsi="Lato" w:cs="Arial"/>
        </w:rPr>
        <w:t>20</w:t>
      </w:r>
      <w:r w:rsidR="001406BE">
        <w:rPr>
          <w:rFonts w:ascii="Lato" w:hAnsi="Lato" w:cs="Arial"/>
        </w:rPr>
        <w:t>2</w:t>
      </w:r>
      <w:r w:rsidR="00757BE7">
        <w:rPr>
          <w:rFonts w:ascii="Lato" w:hAnsi="Lato" w:cs="Arial"/>
        </w:rPr>
        <w:t>1</w:t>
      </w:r>
      <w:r w:rsidR="00D0357D">
        <w:rPr>
          <w:rFonts w:ascii="Lato" w:hAnsi="Lato" w:cs="Arial"/>
        </w:rPr>
        <w:t>.</w:t>
      </w:r>
    </w:p>
    <w:p w:rsidR="00DA3F0D" w:rsidRPr="00D0357D" w:rsidRDefault="00DA3F0D" w:rsidP="00D52E7A">
      <w:pPr>
        <w:spacing w:line="336" w:lineRule="auto"/>
        <w:jc w:val="both"/>
        <w:rPr>
          <w:rFonts w:ascii="Lato" w:hAnsi="Lato" w:cs="Arial"/>
          <w:sz w:val="18"/>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Pr="00D0357D" w:rsidRDefault="00D52E7A" w:rsidP="00D0357D">
      <w:pPr>
        <w:spacing w:line="336" w:lineRule="auto"/>
        <w:jc w:val="both"/>
        <w:rPr>
          <w:rFonts w:ascii="Lato" w:hAnsi="Lato" w:cs="Arial"/>
          <w:sz w:val="18"/>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4C7" w:rsidRDefault="00D0357D" w:rsidP="00DA34C7">
      <w:pPr>
        <w:spacing w:line="360" w:lineRule="auto"/>
        <w:jc w:val="both"/>
        <w:rPr>
          <w:rFonts w:ascii="Lato" w:hAnsi="Lato" w:cs="Arial"/>
        </w:rPr>
      </w:pPr>
      <w:r>
        <w:rPr>
          <w:rFonts w:ascii="Lato" w:hAnsi="Lato" w:cs="Arial"/>
          <w:b/>
        </w:rPr>
        <w:t>Ú</w:t>
      </w:r>
      <w:r w:rsidR="006F37D0">
        <w:rPr>
          <w:rFonts w:ascii="Lato" w:hAnsi="Lato" w:cs="Arial"/>
          <w:b/>
        </w:rPr>
        <w:t>NICO</w:t>
      </w:r>
      <w:r w:rsidR="00DA3F0D" w:rsidRPr="00762A70">
        <w:rPr>
          <w:rFonts w:ascii="Lato" w:hAnsi="Lato" w:cs="Arial"/>
          <w:b/>
        </w:rPr>
        <w:t xml:space="preserve">. </w:t>
      </w:r>
      <w:r w:rsidR="00DA34C7" w:rsidRPr="00762A70">
        <w:rPr>
          <w:rFonts w:ascii="Lato" w:hAnsi="Lato" w:cs="Arial"/>
          <w:b/>
        </w:rPr>
        <w:t xml:space="preserve">Procedimiento de clasificación de la información </w:t>
      </w:r>
      <w:r w:rsidR="007044EF">
        <w:rPr>
          <w:rFonts w:ascii="Lato" w:hAnsi="Lato" w:cs="Arial"/>
          <w:b/>
        </w:rPr>
        <w:t xml:space="preserve">como </w:t>
      </w:r>
      <w:r w:rsidR="00D90066">
        <w:rPr>
          <w:rFonts w:ascii="Lato" w:hAnsi="Lato" w:cs="Arial"/>
          <w:b/>
        </w:rPr>
        <w:t>r</w:t>
      </w:r>
      <w:r w:rsidR="007044EF">
        <w:rPr>
          <w:rFonts w:ascii="Lato" w:hAnsi="Lato" w:cs="Arial"/>
          <w:b/>
        </w:rPr>
        <w:t>eservada</w:t>
      </w:r>
      <w:r w:rsidR="00DA34C7" w:rsidRPr="00D5635F">
        <w:rPr>
          <w:rFonts w:ascii="Lato" w:hAnsi="Lato" w:cs="Arial"/>
          <w:b/>
        </w:rPr>
        <w:t xml:space="preserve"> </w:t>
      </w:r>
      <w:r w:rsidR="00DA34C7">
        <w:rPr>
          <w:rFonts w:ascii="Lato" w:hAnsi="Lato" w:cs="Arial"/>
          <w:b/>
        </w:rPr>
        <w:t xml:space="preserve">número </w:t>
      </w:r>
      <w:r w:rsidR="007044EF">
        <w:rPr>
          <w:rFonts w:ascii="Lato" w:hAnsi="Lato" w:cs="Arial"/>
          <w:b/>
        </w:rPr>
        <w:t>01</w:t>
      </w:r>
      <w:r w:rsidR="00FF17F0">
        <w:rPr>
          <w:rFonts w:ascii="Lato" w:hAnsi="Lato" w:cs="Arial"/>
          <w:b/>
        </w:rPr>
        <w:t>/2021</w:t>
      </w:r>
      <w:r w:rsidR="00DA34C7" w:rsidRPr="00895F7C">
        <w:rPr>
          <w:rFonts w:ascii="Lato" w:hAnsi="Lato" w:cs="Arial"/>
        </w:rPr>
        <w:t xml:space="preserve">, </w:t>
      </w:r>
      <w:r w:rsidR="00FF17F0">
        <w:rPr>
          <w:rFonts w:ascii="Lato" w:hAnsi="Lato" w:cs="Arial"/>
        </w:rPr>
        <w:t xml:space="preserve">derivado de la determinación del </w:t>
      </w:r>
      <w:r w:rsidR="007044EF">
        <w:rPr>
          <w:rFonts w:ascii="Lato" w:hAnsi="Lato" w:cs="Arial"/>
        </w:rPr>
        <w:t>titular de</w:t>
      </w:r>
      <w:r w:rsidR="00FF17F0">
        <w:rPr>
          <w:rFonts w:ascii="Lato" w:hAnsi="Lato" w:cs="Arial"/>
        </w:rPr>
        <w:t xml:space="preserve"> </w:t>
      </w:r>
      <w:r w:rsidR="007044EF">
        <w:rPr>
          <w:rFonts w:ascii="Lato" w:hAnsi="Lato" w:cs="Arial"/>
        </w:rPr>
        <w:t>l</w:t>
      </w:r>
      <w:r w:rsidR="00FF17F0">
        <w:rPr>
          <w:rFonts w:ascii="Lato" w:hAnsi="Lato" w:cs="Arial"/>
        </w:rPr>
        <w:t>a Unidad Jurídica y de Asesoría Interna del Poder Judicial del Estado del Baja California</w:t>
      </w:r>
      <w:r w:rsidR="00DA34C7" w:rsidRPr="00895F7C">
        <w:rPr>
          <w:rFonts w:ascii="Lato" w:hAnsi="Lato" w:cs="Arial"/>
        </w:rPr>
        <w:t xml:space="preserve">, </w:t>
      </w:r>
      <w:r w:rsidR="007044EF">
        <w:rPr>
          <w:rFonts w:ascii="Lato" w:hAnsi="Lato" w:cs="Arial"/>
        </w:rPr>
        <w:t xml:space="preserve">con motivo de </w:t>
      </w:r>
      <w:r w:rsidR="00DA34C7" w:rsidRPr="00762A70">
        <w:rPr>
          <w:rFonts w:ascii="Lato" w:hAnsi="Lato" w:cs="Arial"/>
        </w:rPr>
        <w:t>la solicitud de información registrada</w:t>
      </w:r>
      <w:r w:rsidR="00DA34C7">
        <w:rPr>
          <w:rFonts w:ascii="Lato" w:hAnsi="Lato" w:cs="Arial"/>
        </w:rPr>
        <w:t xml:space="preserve"> con el número de folio 0</w:t>
      </w:r>
      <w:r w:rsidR="00FF17F0">
        <w:rPr>
          <w:rFonts w:ascii="Lato" w:hAnsi="Lato" w:cs="Arial"/>
        </w:rPr>
        <w:t>1226820</w:t>
      </w:r>
      <w:r w:rsidR="00DA34C7" w:rsidRPr="00762A70">
        <w:rPr>
          <w:rFonts w:ascii="Lato" w:hAnsi="Lato" w:cs="Arial"/>
        </w:rPr>
        <w:t>,</w:t>
      </w:r>
      <w:r w:rsidR="00DA34C7">
        <w:rPr>
          <w:rFonts w:ascii="Lato" w:hAnsi="Lato" w:cs="Arial"/>
        </w:rPr>
        <w:t xml:space="preserve"> </w:t>
      </w:r>
      <w:r w:rsidR="00DA34C7" w:rsidRPr="00762A70">
        <w:rPr>
          <w:rFonts w:ascii="Lato" w:hAnsi="Lato" w:cs="Arial"/>
        </w:rPr>
        <w:t xml:space="preserve"> </w:t>
      </w:r>
      <w:r w:rsidR="00DA34C7">
        <w:rPr>
          <w:rFonts w:ascii="Lato" w:hAnsi="Lato" w:cs="Arial"/>
        </w:rPr>
        <w:t xml:space="preserve">en la Plataforma Nacional de Transparencia con fecha </w:t>
      </w:r>
      <w:r w:rsidR="00FF17F0">
        <w:rPr>
          <w:rFonts w:ascii="Lato" w:hAnsi="Lato" w:cs="Arial"/>
        </w:rPr>
        <w:t xml:space="preserve">catorce de diciembre de </w:t>
      </w:r>
      <w:r w:rsidR="00DA34C7" w:rsidRPr="00191D9E">
        <w:rPr>
          <w:rFonts w:ascii="Lato" w:hAnsi="Lato" w:cs="Arial"/>
        </w:rPr>
        <w:t>dos mil veinte.</w:t>
      </w:r>
      <w:r w:rsidR="00DA34C7" w:rsidRPr="00762A70">
        <w:rPr>
          <w:rFonts w:ascii="Lato" w:hAnsi="Lato" w:cs="Arial"/>
        </w:rPr>
        <w:t xml:space="preserve"> </w:t>
      </w:r>
    </w:p>
    <w:p w:rsidR="00DA3F0D" w:rsidRDefault="00DA3F0D" w:rsidP="00191D9E">
      <w:pPr>
        <w:spacing w:line="360"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 xml:space="preserve">on las facultades que se le confieren en las fracciones I y II del artículo 54 de la Ley de Transparencia y Acceso a la Información Pública para el Estado de Baja California; 11 y 13 fracción XIII del </w:t>
      </w:r>
      <w:r w:rsidRPr="00191D9E">
        <w:rPr>
          <w:rFonts w:ascii="Lato" w:hAnsi="Lato" w:cs="Arial"/>
        </w:rPr>
        <w:t>Reglamento para la Transparencia y el Acceso a la Información Pública del Poder Judicial</w:t>
      </w:r>
      <w:r w:rsidR="001629F2" w:rsidRPr="00191D9E">
        <w:rPr>
          <w:rFonts w:ascii="Lato" w:hAnsi="Lato" w:cs="Arial"/>
        </w:rPr>
        <w:t xml:space="preserve"> de</w:t>
      </w:r>
      <w:r w:rsidR="00791EB2" w:rsidRPr="00191D9E">
        <w:rPr>
          <w:rFonts w:ascii="Lato" w:hAnsi="Lato" w:cs="Arial"/>
        </w:rPr>
        <w:t xml:space="preserve">l Estado de Baja California, </w:t>
      </w:r>
      <w:r w:rsidRPr="00191D9E">
        <w:rPr>
          <w:rFonts w:ascii="Lato" w:hAnsi="Lato" w:cs="Arial"/>
          <w:b/>
        </w:rPr>
        <w:t>aprob</w:t>
      </w:r>
      <w:r w:rsidR="001629F2" w:rsidRPr="00191D9E">
        <w:rPr>
          <w:rFonts w:ascii="Lato" w:hAnsi="Lato" w:cs="Arial"/>
          <w:b/>
        </w:rPr>
        <w:t xml:space="preserve">aron </w:t>
      </w:r>
      <w:r w:rsidRPr="00191D9E">
        <w:rPr>
          <w:rFonts w:ascii="Lato" w:hAnsi="Lato" w:cs="Arial"/>
          <w:b/>
        </w:rPr>
        <w:t>por unanimidad de votos</w:t>
      </w:r>
      <w:r w:rsidR="001629F2" w:rsidRPr="00191D9E">
        <w:rPr>
          <w:rFonts w:ascii="Lato" w:hAnsi="Lato" w:cs="Arial"/>
          <w:b/>
        </w:rPr>
        <w:t>,</w:t>
      </w:r>
      <w:r w:rsidRPr="00191D9E">
        <w:rPr>
          <w:rFonts w:ascii="Lato" w:hAnsi="Lato" w:cs="Arial"/>
          <w:b/>
        </w:rPr>
        <w:t xml:space="preserve"> </w:t>
      </w:r>
      <w:r w:rsidRPr="00191D9E">
        <w:rPr>
          <w:rFonts w:ascii="Lato" w:hAnsi="Lato" w:cs="Arial"/>
        </w:rPr>
        <w:t>por sus propios y legales fundamentos</w:t>
      </w:r>
      <w:r w:rsidR="001629F2" w:rsidRPr="00191D9E">
        <w:rPr>
          <w:rFonts w:ascii="Lato" w:hAnsi="Lato" w:cs="Arial"/>
        </w:rPr>
        <w:t xml:space="preserve">, </w:t>
      </w:r>
      <w:r w:rsidRPr="00191D9E">
        <w:rPr>
          <w:rFonts w:ascii="Lato" w:hAnsi="Lato" w:cs="Arial"/>
          <w:b/>
        </w:rPr>
        <w:t>la</w:t>
      </w:r>
      <w:r w:rsidR="001629F2" w:rsidRPr="00191D9E">
        <w:rPr>
          <w:rFonts w:ascii="Lato" w:hAnsi="Lato" w:cs="Arial"/>
          <w:b/>
        </w:rPr>
        <w:t xml:space="preserve"> resolución relativa a </w:t>
      </w:r>
      <w:r w:rsidR="00494940" w:rsidRPr="00191D9E">
        <w:rPr>
          <w:rFonts w:ascii="Lato" w:hAnsi="Lato" w:cs="Arial"/>
          <w:b/>
        </w:rPr>
        <w:t xml:space="preserve">la </w:t>
      </w:r>
      <w:r w:rsidRPr="00191D9E">
        <w:rPr>
          <w:rFonts w:ascii="Lato" w:hAnsi="Lato" w:cs="Arial"/>
          <w:b/>
        </w:rPr>
        <w:t xml:space="preserve">clasificación de la información de carácter </w:t>
      </w:r>
      <w:r w:rsidR="00191D9E" w:rsidRPr="00191D9E">
        <w:rPr>
          <w:rFonts w:ascii="Lato" w:hAnsi="Lato" w:cs="Arial"/>
          <w:b/>
        </w:rPr>
        <w:t>reservada</w:t>
      </w:r>
      <w:r w:rsidRPr="00191D9E">
        <w:rPr>
          <w:rFonts w:ascii="Lato" w:hAnsi="Lato" w:cs="Arial"/>
          <w:b/>
        </w:rPr>
        <w:t xml:space="preserve">, </w:t>
      </w:r>
      <w:r w:rsidR="0041522E" w:rsidRPr="00191D9E">
        <w:rPr>
          <w:rFonts w:ascii="Lato" w:hAnsi="Lato" w:cs="Arial"/>
        </w:rPr>
        <w:t>realiz</w:t>
      </w:r>
      <w:r w:rsidR="00334784" w:rsidRPr="00191D9E">
        <w:rPr>
          <w:rFonts w:ascii="Lato" w:hAnsi="Lato" w:cs="Arial"/>
        </w:rPr>
        <w:t>ada por</w:t>
      </w:r>
      <w:r w:rsidR="00C76043" w:rsidRPr="00191D9E">
        <w:rPr>
          <w:rFonts w:ascii="Lato" w:hAnsi="Lato" w:cs="Arial"/>
        </w:rPr>
        <w:t xml:space="preserve"> </w:t>
      </w:r>
      <w:r w:rsidR="00FF17F0">
        <w:rPr>
          <w:rFonts w:ascii="Lato" w:hAnsi="Lato" w:cs="Arial"/>
        </w:rPr>
        <w:t>el titular de la Unidad Jurídica y de Asesoría Interna del Poder Judicial del Estado</w:t>
      </w:r>
      <w:r w:rsidR="0052637C" w:rsidRPr="00191D9E">
        <w:rPr>
          <w:rFonts w:ascii="Lato" w:hAnsi="Lato" w:cs="Arial"/>
          <w:b/>
        </w:rPr>
        <w:t xml:space="preserve">, </w:t>
      </w:r>
      <w:r w:rsidRPr="00191D9E">
        <w:rPr>
          <w:rFonts w:ascii="Lato" w:hAnsi="Lato" w:cs="Arial"/>
        </w:rPr>
        <w:t>CONSIDERANDO QUE:</w:t>
      </w:r>
      <w:r w:rsidRPr="00762A70">
        <w:rPr>
          <w:rFonts w:ascii="Lato" w:hAnsi="Lato" w:cs="Arial"/>
        </w:rPr>
        <w:t xml:space="preserv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450A85" w:rsidRDefault="0091482D" w:rsidP="00191D9E">
      <w:pPr>
        <w:spacing w:line="360" w:lineRule="auto"/>
        <w:jc w:val="both"/>
        <w:rPr>
          <w:rFonts w:ascii="Lato" w:hAnsi="Lato" w:cs="Arial"/>
        </w:rPr>
      </w:pPr>
      <w:r>
        <w:rPr>
          <w:rFonts w:ascii="Lato" w:hAnsi="Lato" w:cs="Arial"/>
        </w:rPr>
        <w:t>E</w:t>
      </w:r>
      <w:r w:rsidR="00880085">
        <w:rPr>
          <w:rFonts w:ascii="Lato" w:hAnsi="Lato" w:cs="Arial"/>
        </w:rPr>
        <w:t xml:space="preserve">n </w:t>
      </w:r>
      <w:r w:rsidR="008D7A86">
        <w:rPr>
          <w:rFonts w:ascii="Lato" w:hAnsi="Lato" w:cs="Arial"/>
        </w:rPr>
        <w:t xml:space="preserve">la solicitud </w:t>
      </w:r>
      <w:r w:rsidR="008115E8" w:rsidRPr="00762A70">
        <w:rPr>
          <w:rFonts w:ascii="Lato" w:hAnsi="Lato" w:cs="Arial"/>
        </w:rPr>
        <w:t>de información registrada</w:t>
      </w:r>
      <w:r w:rsidR="008115E8">
        <w:rPr>
          <w:rFonts w:ascii="Lato" w:hAnsi="Lato" w:cs="Arial"/>
        </w:rPr>
        <w:t xml:space="preserve"> con el número de folio </w:t>
      </w:r>
      <w:r w:rsidR="00450A85">
        <w:rPr>
          <w:rFonts w:ascii="Lato" w:hAnsi="Lato" w:cs="Arial"/>
        </w:rPr>
        <w:t>01226820</w:t>
      </w:r>
      <w:r>
        <w:rPr>
          <w:rFonts w:ascii="Lato" w:hAnsi="Lato" w:cs="Arial"/>
        </w:rPr>
        <w:t>,</w:t>
      </w:r>
      <w:r w:rsidR="00DA3F0D" w:rsidRPr="001B43C0">
        <w:rPr>
          <w:rFonts w:ascii="Lato" w:hAnsi="Lato" w:cs="Arial"/>
        </w:rPr>
        <w:t xml:space="preserve"> se pide</w:t>
      </w:r>
      <w:r>
        <w:rPr>
          <w:rFonts w:ascii="Lato" w:hAnsi="Lato" w:cs="Arial"/>
        </w:rPr>
        <w:t xml:space="preserve"> </w:t>
      </w:r>
      <w:r w:rsidR="00450A85">
        <w:rPr>
          <w:rFonts w:ascii="Lato" w:hAnsi="Lato" w:cs="Arial"/>
        </w:rPr>
        <w:t xml:space="preserve">copia íntegra del escrito que contiene la </w:t>
      </w:r>
      <w:r w:rsidR="000B59C9">
        <w:rPr>
          <w:rFonts w:ascii="Lato" w:hAnsi="Lato" w:cs="Arial"/>
        </w:rPr>
        <w:t xml:space="preserve">demanda de </w:t>
      </w:r>
      <w:r w:rsidR="00450A85">
        <w:rPr>
          <w:rFonts w:ascii="Lato" w:hAnsi="Lato" w:cs="Arial"/>
        </w:rPr>
        <w:t>controversia constitucional interpuesta en contra del Dictamen número 49, emitido por el Poder Legislativo de esta entidad federativa y que actualmente se tramita ante la Suprema Corte de Justicia de la Nación.</w:t>
      </w:r>
    </w:p>
    <w:p w:rsidR="00450A85" w:rsidRDefault="00450A85" w:rsidP="00191D9E">
      <w:pPr>
        <w:spacing w:line="360" w:lineRule="auto"/>
        <w:jc w:val="both"/>
        <w:rPr>
          <w:rFonts w:ascii="Lato" w:hAnsi="Lato" w:cs="Arial"/>
        </w:rPr>
      </w:pPr>
    </w:p>
    <w:p w:rsidR="00206199" w:rsidRPr="000B59C9" w:rsidRDefault="00874414" w:rsidP="008317FC">
      <w:pPr>
        <w:spacing w:line="360" w:lineRule="auto"/>
        <w:jc w:val="both"/>
        <w:rPr>
          <w:rFonts w:ascii="Lato" w:eastAsia="Calibri" w:hAnsi="Lato"/>
          <w:i/>
        </w:rPr>
      </w:pPr>
      <w:r>
        <w:rPr>
          <w:rFonts w:ascii="Lato" w:hAnsi="Lato" w:cs="Arial"/>
        </w:rPr>
        <w:t xml:space="preserve">La Unidad de Transparencia con fecha </w:t>
      </w:r>
      <w:r w:rsidR="00450A85">
        <w:rPr>
          <w:rFonts w:ascii="Lato" w:hAnsi="Lato" w:cs="Arial"/>
        </w:rPr>
        <w:t xml:space="preserve">ocho de enero de este año, </w:t>
      </w:r>
      <w:r>
        <w:rPr>
          <w:rFonts w:ascii="Lato" w:hAnsi="Lato" w:cs="Arial"/>
        </w:rPr>
        <w:t>giró</w:t>
      </w:r>
      <w:r w:rsidR="00F77FDD">
        <w:rPr>
          <w:rFonts w:ascii="Lato" w:hAnsi="Lato" w:cs="Arial"/>
        </w:rPr>
        <w:t xml:space="preserve"> </w:t>
      </w:r>
      <w:r w:rsidR="0091482D">
        <w:rPr>
          <w:rFonts w:ascii="Lato" w:hAnsi="Lato" w:cs="Arial"/>
        </w:rPr>
        <w:t>el o</w:t>
      </w:r>
      <w:r>
        <w:rPr>
          <w:rFonts w:ascii="Lato" w:hAnsi="Lato" w:cs="Arial"/>
        </w:rPr>
        <w:t>ficio</w:t>
      </w:r>
      <w:r w:rsidR="00F77FDD">
        <w:rPr>
          <w:rFonts w:ascii="Lato" w:hAnsi="Lato" w:cs="Arial"/>
        </w:rPr>
        <w:t xml:space="preserve"> </w:t>
      </w:r>
      <w:r w:rsidR="00450A85">
        <w:rPr>
          <w:rFonts w:ascii="Lato" w:hAnsi="Lato" w:cs="Arial"/>
        </w:rPr>
        <w:t>68</w:t>
      </w:r>
      <w:r w:rsidR="0091482D">
        <w:rPr>
          <w:rFonts w:ascii="Lato" w:hAnsi="Lato" w:cs="Arial"/>
        </w:rPr>
        <w:t>/UT/</w:t>
      </w:r>
      <w:proofErr w:type="spellStart"/>
      <w:r w:rsidR="0091482D">
        <w:rPr>
          <w:rFonts w:ascii="Lato" w:hAnsi="Lato" w:cs="Arial"/>
        </w:rPr>
        <w:t>MXL</w:t>
      </w:r>
      <w:proofErr w:type="spellEnd"/>
      <w:r w:rsidR="0091482D">
        <w:rPr>
          <w:rFonts w:ascii="Lato" w:hAnsi="Lato" w:cs="Arial"/>
        </w:rPr>
        <w:t>/202</w:t>
      </w:r>
      <w:r w:rsidR="00450A85">
        <w:rPr>
          <w:rFonts w:ascii="Lato" w:hAnsi="Lato" w:cs="Arial"/>
        </w:rPr>
        <w:t>1</w:t>
      </w:r>
      <w:r>
        <w:rPr>
          <w:rFonts w:ascii="Lato" w:hAnsi="Lato" w:cs="Arial"/>
        </w:rPr>
        <w:t xml:space="preserve"> a la</w:t>
      </w:r>
      <w:r w:rsidR="0091482D">
        <w:rPr>
          <w:rFonts w:ascii="Lato" w:hAnsi="Lato" w:cs="Arial"/>
        </w:rPr>
        <w:t xml:space="preserve"> </w:t>
      </w:r>
      <w:r w:rsidR="00F77FDD">
        <w:rPr>
          <w:rFonts w:ascii="Lato" w:hAnsi="Lato" w:cs="Arial"/>
        </w:rPr>
        <w:t>mencionada</w:t>
      </w:r>
      <w:r w:rsidR="0091482D">
        <w:rPr>
          <w:rFonts w:ascii="Lato" w:hAnsi="Lato" w:cs="Arial"/>
        </w:rPr>
        <w:t xml:space="preserve"> autoridad</w:t>
      </w:r>
      <w:r w:rsidR="00F77FDD">
        <w:rPr>
          <w:rFonts w:ascii="Lato" w:hAnsi="Lato" w:cs="Arial"/>
        </w:rPr>
        <w:t>,</w:t>
      </w:r>
      <w:r>
        <w:rPr>
          <w:rFonts w:ascii="Lato" w:hAnsi="Lato" w:cs="Arial"/>
        </w:rPr>
        <w:t xml:space="preserve"> requiriendo la información solicitada. </w:t>
      </w:r>
      <w:r w:rsidR="00FF3638">
        <w:rPr>
          <w:rFonts w:ascii="Lato" w:hAnsi="Lato" w:cs="Arial"/>
        </w:rPr>
        <w:t xml:space="preserve">Ante </w:t>
      </w:r>
      <w:r w:rsidR="0091482D">
        <w:rPr>
          <w:rFonts w:ascii="Lato" w:hAnsi="Lato" w:cs="Arial"/>
        </w:rPr>
        <w:t>ello</w:t>
      </w:r>
      <w:r w:rsidR="00450A85">
        <w:rPr>
          <w:rFonts w:ascii="Lato" w:hAnsi="Lato" w:cs="Arial"/>
        </w:rPr>
        <w:t>,</w:t>
      </w:r>
      <w:r w:rsidR="0091482D">
        <w:rPr>
          <w:rFonts w:ascii="Lato" w:hAnsi="Lato" w:cs="Arial"/>
        </w:rPr>
        <w:t xml:space="preserve"> </w:t>
      </w:r>
      <w:r w:rsidR="00FF3638">
        <w:rPr>
          <w:rFonts w:ascii="Lato" w:hAnsi="Lato" w:cs="Arial"/>
        </w:rPr>
        <w:t>mediante oficio n</w:t>
      </w:r>
      <w:r w:rsidR="001232FD">
        <w:rPr>
          <w:rFonts w:ascii="Lato" w:hAnsi="Lato" w:cs="Arial"/>
        </w:rPr>
        <w:t>úmero</w:t>
      </w:r>
      <w:r w:rsidR="0091482D">
        <w:rPr>
          <w:rFonts w:ascii="Lato" w:hAnsi="Lato" w:cs="Arial"/>
        </w:rPr>
        <w:t xml:space="preserve"> </w:t>
      </w:r>
      <w:proofErr w:type="spellStart"/>
      <w:r w:rsidR="00450A85">
        <w:rPr>
          <w:rFonts w:ascii="Lato" w:hAnsi="Lato" w:cs="Arial"/>
        </w:rPr>
        <w:t>DUJAI</w:t>
      </w:r>
      <w:proofErr w:type="spellEnd"/>
      <w:r w:rsidR="00450A85">
        <w:rPr>
          <w:rFonts w:ascii="Lato" w:hAnsi="Lato" w:cs="Arial"/>
        </w:rPr>
        <w:t>/</w:t>
      </w:r>
      <w:proofErr w:type="spellStart"/>
      <w:r w:rsidR="00450A85">
        <w:rPr>
          <w:rFonts w:ascii="Lato" w:hAnsi="Lato" w:cs="Arial"/>
        </w:rPr>
        <w:t>PJEBC</w:t>
      </w:r>
      <w:proofErr w:type="spellEnd"/>
      <w:r w:rsidR="00450A85">
        <w:rPr>
          <w:rFonts w:ascii="Lato" w:hAnsi="Lato" w:cs="Arial"/>
        </w:rPr>
        <w:t>/17/2021,</w:t>
      </w:r>
      <w:r w:rsidR="00FF3638">
        <w:rPr>
          <w:rFonts w:ascii="Lato" w:hAnsi="Lato" w:cs="Arial"/>
        </w:rPr>
        <w:t xml:space="preserve"> recibido el </w:t>
      </w:r>
      <w:r w:rsidR="00450A85">
        <w:rPr>
          <w:rFonts w:ascii="Lato" w:hAnsi="Lato" w:cs="Arial"/>
        </w:rPr>
        <w:t xml:space="preserve">doce de este mismo mes, </w:t>
      </w:r>
      <w:r w:rsidR="00196964">
        <w:rPr>
          <w:rFonts w:ascii="Lato" w:hAnsi="Lato" w:cs="Arial"/>
        </w:rPr>
        <w:t>di</w:t>
      </w:r>
      <w:r w:rsidR="00F77FDD">
        <w:rPr>
          <w:rFonts w:ascii="Lato" w:hAnsi="Lato" w:cs="Arial"/>
        </w:rPr>
        <w:t>o</w:t>
      </w:r>
      <w:r w:rsidR="00196964">
        <w:rPr>
          <w:rFonts w:ascii="Lato" w:hAnsi="Lato" w:cs="Arial"/>
        </w:rPr>
        <w:t xml:space="preserve"> contestación a</w:t>
      </w:r>
      <w:r w:rsidR="00450A85">
        <w:rPr>
          <w:rFonts w:ascii="Lato" w:hAnsi="Lato" w:cs="Arial"/>
        </w:rPr>
        <w:t>l requerimiento efectuado</w:t>
      </w:r>
      <w:r w:rsidR="000B59C9">
        <w:rPr>
          <w:rFonts w:ascii="Lato" w:hAnsi="Lato" w:cs="Arial"/>
        </w:rPr>
        <w:t>,</w:t>
      </w:r>
      <w:r w:rsidR="00450A85">
        <w:rPr>
          <w:rFonts w:ascii="Lato" w:hAnsi="Lato" w:cs="Arial"/>
        </w:rPr>
        <w:t xml:space="preserve"> solicitando al Comité de Transparencia</w:t>
      </w:r>
      <w:r w:rsidR="000B59C9">
        <w:rPr>
          <w:rFonts w:ascii="Lato" w:hAnsi="Lato" w:cs="Arial"/>
        </w:rPr>
        <w:t>,</w:t>
      </w:r>
      <w:r w:rsidR="00450A85">
        <w:rPr>
          <w:rFonts w:ascii="Lato" w:hAnsi="Lato" w:cs="Arial"/>
        </w:rPr>
        <w:t xml:space="preserve"> Acceso a la Información Pública y Protección de Datos</w:t>
      </w:r>
      <w:r w:rsidR="00C80F85">
        <w:rPr>
          <w:rFonts w:ascii="Lato" w:hAnsi="Lato" w:cs="Arial"/>
        </w:rPr>
        <w:t xml:space="preserve"> Personales del Poder Judicial</w:t>
      </w:r>
      <w:r w:rsidR="000B59C9">
        <w:rPr>
          <w:rFonts w:ascii="Lato" w:hAnsi="Lato" w:cs="Arial"/>
        </w:rPr>
        <w:t>,</w:t>
      </w:r>
      <w:r w:rsidR="00C80F85">
        <w:rPr>
          <w:rFonts w:ascii="Lato" w:hAnsi="Lato" w:cs="Arial"/>
        </w:rPr>
        <w:t xml:space="preserve"> </w:t>
      </w:r>
      <w:r w:rsidR="00C80F85" w:rsidRPr="00C80F85">
        <w:rPr>
          <w:rFonts w:ascii="Lato" w:hAnsi="Lato" w:cs="Arial"/>
          <w:b/>
        </w:rPr>
        <w:t>se confirme la declaración de la información solicitada como reservada</w:t>
      </w:r>
      <w:r w:rsidR="00C80F85">
        <w:rPr>
          <w:rFonts w:ascii="Lato" w:hAnsi="Lato" w:cs="Arial"/>
        </w:rPr>
        <w:t xml:space="preserve"> y al respecto manifiesta</w:t>
      </w:r>
      <w:r w:rsidR="00F77FDD">
        <w:rPr>
          <w:rFonts w:ascii="Lato" w:hAnsi="Lato" w:cs="Arial"/>
        </w:rPr>
        <w:t xml:space="preserve">: </w:t>
      </w:r>
      <w:r w:rsidR="009270A4" w:rsidRPr="000B59C9">
        <w:rPr>
          <w:rFonts w:ascii="Lato" w:hAnsi="Lato" w:cs="Arial"/>
          <w:i/>
        </w:rPr>
        <w:t>“</w:t>
      </w:r>
      <w:r w:rsidR="00F77FDD" w:rsidRPr="000B59C9">
        <w:rPr>
          <w:rFonts w:ascii="Lato" w:hAnsi="Lato" w:cs="Arial"/>
          <w:i/>
        </w:rPr>
        <w:t>(…)</w:t>
      </w:r>
      <w:r w:rsidR="00206199" w:rsidRPr="000B59C9">
        <w:rPr>
          <w:rFonts w:ascii="Lato" w:eastAsia="Calibri" w:hAnsi="Lato"/>
          <w:i/>
        </w:rPr>
        <w:t xml:space="preserve"> se encomendó por parte del Poder Judicial del Estado la planeación y elaboración de la estrategia para reclamar la invalidez de la aprobación del dictamen 49, mismo que es la génesis del Decreto número 110, mediante el cual se aprobaron reformas a los artículos 18, 27, 42, 49, 55, 57, 58, 59, 60, 61, 62, 63, 64, 65, 66, 67, 90, 93, 94, 95, 107 y 109, todos de la Constitución del Estado Libre y Soberano de Baja California, publicado en el Periódico Oficial del Estado de Baja California, el día diecinueve de octubre de dos mil veinte (…) la demanda de controversia constitucional, el día veinticuatro de noviembre de dos mil veinte se presentó junto con los anexos correspondientes en el buzón judicial en la </w:t>
      </w:r>
      <w:r w:rsidR="00206199" w:rsidRPr="000B59C9">
        <w:rPr>
          <w:rFonts w:ascii="Lato" w:eastAsia="Calibri" w:hAnsi="Lato"/>
          <w:i/>
        </w:rPr>
        <w:lastRenderedPageBreak/>
        <w:t>Oficina de Certificación Judicial y Correspondencia de la Suprema Corte de Justicia de la Nación</w:t>
      </w:r>
      <w:r w:rsidR="008317FC" w:rsidRPr="000B59C9">
        <w:rPr>
          <w:rFonts w:ascii="Lato" w:eastAsia="Calibri" w:hAnsi="Lato"/>
          <w:i/>
        </w:rPr>
        <w:t xml:space="preserve"> </w:t>
      </w:r>
      <w:r w:rsidR="00206199" w:rsidRPr="000B59C9">
        <w:rPr>
          <w:rFonts w:ascii="Lato" w:eastAsia="Calibri" w:hAnsi="Lato"/>
          <w:i/>
        </w:rPr>
        <w:t xml:space="preserve">(…) </w:t>
      </w:r>
      <w:r w:rsidR="000B59C9" w:rsidRPr="000B59C9">
        <w:rPr>
          <w:rFonts w:ascii="Lato" w:eastAsia="Calibri" w:hAnsi="Lato"/>
          <w:i/>
        </w:rPr>
        <w:t xml:space="preserve">El Presidente de la Suprema Corte (…) </w:t>
      </w:r>
      <w:r w:rsidR="00206199" w:rsidRPr="000B59C9">
        <w:rPr>
          <w:rFonts w:ascii="Lato" w:eastAsia="Calibri" w:hAnsi="Lato"/>
          <w:i/>
        </w:rPr>
        <w:t xml:space="preserve">ordenó que se formara y registrara el expediente correspondiente con el número 187/2020, turnándose dicho expediente al Ministro Alberto Pérez </w:t>
      </w:r>
      <w:proofErr w:type="spellStart"/>
      <w:r w:rsidR="00206199" w:rsidRPr="000B59C9">
        <w:rPr>
          <w:rFonts w:ascii="Lato" w:eastAsia="Calibri" w:hAnsi="Lato"/>
          <w:i/>
        </w:rPr>
        <w:t>Dayán</w:t>
      </w:r>
      <w:proofErr w:type="spellEnd"/>
      <w:r w:rsidR="00206199" w:rsidRPr="000B59C9">
        <w:rPr>
          <w:rFonts w:ascii="Lato" w:eastAsia="Calibri" w:hAnsi="Lato"/>
          <w:i/>
        </w:rPr>
        <w:t xml:space="preserve">, como instructor de ese asunto. Después, el día veintisiete del mismo mes y año </w:t>
      </w:r>
      <w:r w:rsidR="008317FC" w:rsidRPr="000B59C9">
        <w:rPr>
          <w:rFonts w:ascii="Lato" w:eastAsia="Calibri" w:hAnsi="Lato"/>
          <w:i/>
        </w:rPr>
        <w:t>(…)</w:t>
      </w:r>
      <w:r w:rsidR="00206199" w:rsidRPr="000B59C9">
        <w:rPr>
          <w:rFonts w:ascii="Lato" w:eastAsia="Calibri" w:hAnsi="Lato"/>
          <w:i/>
        </w:rPr>
        <w:t xml:space="preserve"> el citado Ministro instructor dictó auto en el que admitió la demanda de controversia constitucional, y de conformidad con los artículos 10, fracción II y 26, párrafo primero de la citada ley, tuvo como demandados a los Poderes Legislativo y Ejecutivo del Estado de Baja California y </w:t>
      </w:r>
      <w:r w:rsidR="00206199" w:rsidRPr="000B59C9">
        <w:rPr>
          <w:rFonts w:ascii="Lato" w:eastAsia="Calibri" w:hAnsi="Lato"/>
          <w:b/>
          <w:i/>
        </w:rPr>
        <w:t>ordenó su emplazamiento</w:t>
      </w:r>
      <w:r w:rsidR="00206199" w:rsidRPr="000B59C9">
        <w:rPr>
          <w:rFonts w:ascii="Lato" w:eastAsia="Calibri" w:hAnsi="Lato"/>
          <w:i/>
        </w:rPr>
        <w:t xml:space="preserve"> en los términos siguientes:</w:t>
      </w:r>
    </w:p>
    <w:p w:rsidR="00206199" w:rsidRPr="000B59C9" w:rsidRDefault="00206199" w:rsidP="008317FC">
      <w:pPr>
        <w:spacing w:line="360" w:lineRule="auto"/>
        <w:jc w:val="both"/>
        <w:rPr>
          <w:rFonts w:ascii="Lato" w:eastAsia="Calibri" w:hAnsi="Lato"/>
          <w:i/>
        </w:rPr>
      </w:pPr>
      <w:r w:rsidRPr="000B59C9">
        <w:rPr>
          <w:rFonts w:ascii="Lato" w:eastAsia="Calibri" w:hAnsi="Lato"/>
          <w:i/>
        </w:rPr>
        <w:t xml:space="preserve">“Consecuentemente, con copia del escrito de demanda y de los anexos que se consideren necesarios, así como del auto de Presidencia de radicación y turno, deberá emplazarse a las autoridades demandadas para que </w:t>
      </w:r>
      <w:r w:rsidRPr="000B59C9">
        <w:rPr>
          <w:rFonts w:ascii="Lato" w:eastAsia="Calibri" w:hAnsi="Lato"/>
          <w:b/>
          <w:i/>
        </w:rPr>
        <w:t>presenten su contestación dentro del plazo de treinta días hábiles</w:t>
      </w:r>
      <w:r w:rsidRPr="000B59C9">
        <w:rPr>
          <w:rFonts w:ascii="Lato" w:eastAsia="Calibri" w:hAnsi="Lato"/>
          <w:i/>
        </w:rPr>
        <w:t>, contados a partir del siguiente al en que surta efectos la notificación de este proveído…”</w:t>
      </w:r>
      <w:r w:rsidR="008317FC" w:rsidRPr="000B59C9">
        <w:rPr>
          <w:rFonts w:ascii="Lato" w:eastAsia="Calibri" w:hAnsi="Lato"/>
          <w:i/>
        </w:rPr>
        <w:t xml:space="preserve"> (..</w:t>
      </w:r>
      <w:r w:rsidRPr="000B59C9">
        <w:rPr>
          <w:rFonts w:ascii="Lato" w:eastAsia="Calibri" w:hAnsi="Lato"/>
          <w:i/>
        </w:rPr>
        <w:t>.</w:t>
      </w:r>
      <w:r w:rsidR="008317FC" w:rsidRPr="000B59C9">
        <w:rPr>
          <w:rFonts w:ascii="Lato" w:eastAsia="Calibri" w:hAnsi="Lato"/>
          <w:i/>
        </w:rPr>
        <w:t>)</w:t>
      </w:r>
      <w:r w:rsidR="00883F2D" w:rsidRPr="000B59C9">
        <w:rPr>
          <w:rFonts w:ascii="Lato" w:eastAsia="Calibri" w:hAnsi="Lato"/>
          <w:i/>
        </w:rPr>
        <w:t xml:space="preserve"> </w:t>
      </w:r>
      <w:r w:rsidRPr="000B59C9">
        <w:rPr>
          <w:rFonts w:ascii="Lato" w:eastAsia="Calibri" w:hAnsi="Lato"/>
          <w:i/>
        </w:rPr>
        <w:t>Motivo por el cual y atendiendo lo antes señalado, es que se actualiza el contenido del artículo 110, fracción IX de la Ley de Transparencia y Acceso a la Información Pública para el Estado de Baja California, en relación al 61 del Reglamento para la Transparencia y el Acceso a la Información Pública del Poder Judicial del Estado de Baja California. Los numerales en cita son del contenido siguiente:</w:t>
      </w:r>
    </w:p>
    <w:p w:rsidR="00206199" w:rsidRPr="000B59C9" w:rsidRDefault="00206199" w:rsidP="008317FC">
      <w:pPr>
        <w:spacing w:line="360" w:lineRule="auto"/>
        <w:jc w:val="both"/>
        <w:rPr>
          <w:rFonts w:ascii="Lato" w:hAnsi="Lato"/>
          <w:i/>
        </w:rPr>
      </w:pPr>
      <w:r w:rsidRPr="000B59C9">
        <w:rPr>
          <w:rFonts w:ascii="Lato" w:hAnsi="Lato"/>
          <w:i/>
        </w:rPr>
        <w:t>“</w:t>
      </w:r>
      <w:r w:rsidRPr="000B59C9">
        <w:rPr>
          <w:rFonts w:ascii="Lato" w:hAnsi="Lato"/>
          <w:b/>
          <w:i/>
        </w:rPr>
        <w:t>Artículo 110.-</w:t>
      </w:r>
      <w:r w:rsidRPr="000B59C9">
        <w:rPr>
          <w:rFonts w:ascii="Lato" w:hAnsi="Lato"/>
          <w:i/>
        </w:rPr>
        <w:t xml:space="preserve"> Como información reservada podrá clasificarse aquella cuya publicación:</w:t>
      </w:r>
    </w:p>
    <w:p w:rsidR="00206199" w:rsidRPr="000B59C9" w:rsidRDefault="00206199" w:rsidP="008317FC">
      <w:pPr>
        <w:spacing w:line="360" w:lineRule="auto"/>
        <w:jc w:val="both"/>
        <w:rPr>
          <w:rFonts w:ascii="Lato" w:hAnsi="Lato"/>
          <w:i/>
        </w:rPr>
      </w:pPr>
      <w:r w:rsidRPr="000B59C9">
        <w:rPr>
          <w:rFonts w:ascii="Lato" w:hAnsi="Lato"/>
          <w:i/>
        </w:rPr>
        <w:t>[…]</w:t>
      </w:r>
    </w:p>
    <w:p w:rsidR="00206199" w:rsidRPr="000B59C9" w:rsidRDefault="00206199" w:rsidP="008317FC">
      <w:pPr>
        <w:spacing w:line="360" w:lineRule="auto"/>
        <w:jc w:val="both"/>
        <w:rPr>
          <w:rFonts w:ascii="Lato" w:hAnsi="Lato"/>
          <w:i/>
        </w:rPr>
      </w:pPr>
      <w:r w:rsidRPr="000B59C9">
        <w:rPr>
          <w:rFonts w:ascii="Lato" w:hAnsi="Lato"/>
          <w:b/>
          <w:i/>
        </w:rPr>
        <w:t>IX.-</w:t>
      </w:r>
      <w:r w:rsidRPr="000B59C9">
        <w:rPr>
          <w:rFonts w:ascii="Lato" w:hAnsi="Lato"/>
          <w:i/>
        </w:rPr>
        <w:t xml:space="preserve"> Afecte los derechos del debido proceso.</w:t>
      </w:r>
    </w:p>
    <w:p w:rsidR="00206199" w:rsidRPr="000B59C9" w:rsidRDefault="00206199" w:rsidP="008317FC">
      <w:pPr>
        <w:spacing w:line="360" w:lineRule="auto"/>
        <w:jc w:val="both"/>
        <w:rPr>
          <w:rFonts w:ascii="Lato" w:hAnsi="Lato"/>
          <w:i/>
        </w:rPr>
      </w:pPr>
      <w:r w:rsidRPr="000B59C9">
        <w:rPr>
          <w:rFonts w:ascii="Lato" w:hAnsi="Lato"/>
          <w:i/>
        </w:rPr>
        <w:t>[…]</w:t>
      </w:r>
    </w:p>
    <w:p w:rsidR="00206199" w:rsidRPr="000B59C9" w:rsidRDefault="00206199" w:rsidP="008317FC">
      <w:pPr>
        <w:spacing w:line="360" w:lineRule="auto"/>
        <w:jc w:val="both"/>
        <w:rPr>
          <w:rFonts w:ascii="Lato" w:hAnsi="Lato"/>
          <w:i/>
        </w:rPr>
      </w:pPr>
      <w:r w:rsidRPr="000B59C9">
        <w:rPr>
          <w:rFonts w:ascii="Lato" w:hAnsi="Lato"/>
          <w:b/>
          <w:i/>
        </w:rPr>
        <w:t>Artículo 61.-</w:t>
      </w:r>
      <w:r w:rsidRPr="000B59C9">
        <w:rPr>
          <w:rFonts w:ascii="Lato" w:hAnsi="Lato"/>
          <w:i/>
        </w:rPr>
        <w:t xml:space="preserve"> De conformidad con el artículo 110, fracción IX de la Ley, podrá considerarse como información reservada, aquella que de divulgarse afecte el debido proceso. En este supuesto, para reservar la información requiere la actualización de los siguientes elementos:</w:t>
      </w:r>
    </w:p>
    <w:p w:rsidR="00206199" w:rsidRPr="000B59C9" w:rsidRDefault="00206199" w:rsidP="008317FC">
      <w:pPr>
        <w:spacing w:line="360" w:lineRule="auto"/>
        <w:jc w:val="both"/>
        <w:rPr>
          <w:rFonts w:ascii="Lato" w:hAnsi="Lato"/>
          <w:i/>
        </w:rPr>
      </w:pPr>
      <w:r w:rsidRPr="000B59C9">
        <w:rPr>
          <w:rFonts w:ascii="Lato" w:hAnsi="Lato"/>
          <w:b/>
          <w:i/>
        </w:rPr>
        <w:t xml:space="preserve">I. </w:t>
      </w:r>
      <w:r w:rsidRPr="000B59C9">
        <w:rPr>
          <w:rFonts w:ascii="Lato" w:hAnsi="Lato"/>
          <w:i/>
        </w:rPr>
        <w:t>La existencia de un procedimiento judicial, administrativo o arbitral en trámite;</w:t>
      </w:r>
    </w:p>
    <w:p w:rsidR="00206199" w:rsidRPr="000B59C9" w:rsidRDefault="00206199" w:rsidP="008317FC">
      <w:pPr>
        <w:spacing w:line="360" w:lineRule="auto"/>
        <w:jc w:val="both"/>
        <w:rPr>
          <w:rFonts w:ascii="Lato" w:hAnsi="Lato"/>
          <w:i/>
        </w:rPr>
      </w:pPr>
      <w:r w:rsidRPr="000B59C9">
        <w:rPr>
          <w:rFonts w:ascii="Lato" w:hAnsi="Lato"/>
          <w:b/>
          <w:i/>
        </w:rPr>
        <w:t xml:space="preserve">II. </w:t>
      </w:r>
      <w:r w:rsidRPr="000B59C9">
        <w:rPr>
          <w:rFonts w:ascii="Lato" w:hAnsi="Lato"/>
          <w:i/>
        </w:rPr>
        <w:t>Que el sujeto obligado sea parte en el procedimiento;</w:t>
      </w:r>
    </w:p>
    <w:p w:rsidR="00206199" w:rsidRPr="000B59C9" w:rsidRDefault="00206199" w:rsidP="008317FC">
      <w:pPr>
        <w:spacing w:line="360" w:lineRule="auto"/>
        <w:jc w:val="both"/>
        <w:rPr>
          <w:rFonts w:ascii="Lato" w:hAnsi="Lato"/>
          <w:i/>
        </w:rPr>
      </w:pPr>
      <w:r w:rsidRPr="000B59C9">
        <w:rPr>
          <w:rFonts w:ascii="Lato" w:hAnsi="Lato"/>
          <w:b/>
          <w:i/>
        </w:rPr>
        <w:t xml:space="preserve">III. </w:t>
      </w:r>
      <w:r w:rsidRPr="000B59C9">
        <w:rPr>
          <w:rFonts w:ascii="Lato" w:hAnsi="Lato"/>
          <w:i/>
        </w:rPr>
        <w:t>Que la información no sea conocida por la contraparte antes de la presentación de la misma en el proceso, y</w:t>
      </w:r>
    </w:p>
    <w:p w:rsidR="00206199" w:rsidRPr="000B59C9" w:rsidRDefault="00206199" w:rsidP="008317FC">
      <w:pPr>
        <w:spacing w:line="360" w:lineRule="auto"/>
        <w:jc w:val="both"/>
        <w:rPr>
          <w:rFonts w:ascii="Lato" w:hAnsi="Lato"/>
          <w:i/>
        </w:rPr>
      </w:pPr>
      <w:r w:rsidRPr="000B59C9">
        <w:rPr>
          <w:rFonts w:ascii="Lato" w:hAnsi="Lato"/>
          <w:b/>
          <w:i/>
        </w:rPr>
        <w:t xml:space="preserve">IV. </w:t>
      </w:r>
      <w:r w:rsidRPr="000B59C9">
        <w:rPr>
          <w:rFonts w:ascii="Lato" w:hAnsi="Lato"/>
          <w:i/>
        </w:rPr>
        <w:t>Que con su divulgación se afecte la oportunidad de llevar a cabo, alguna de las garantías del debido proceso”</w:t>
      </w:r>
      <w:r w:rsidR="00D0357D">
        <w:rPr>
          <w:rFonts w:ascii="Lato" w:hAnsi="Lato"/>
          <w:i/>
        </w:rPr>
        <w:t>.</w:t>
      </w:r>
    </w:p>
    <w:p w:rsidR="00206199" w:rsidRPr="000B59C9" w:rsidRDefault="00206199" w:rsidP="008317FC">
      <w:pPr>
        <w:spacing w:line="360" w:lineRule="auto"/>
        <w:jc w:val="both"/>
        <w:rPr>
          <w:rFonts w:ascii="Lato" w:eastAsia="Calibri" w:hAnsi="Lato"/>
          <w:i/>
        </w:rPr>
      </w:pPr>
      <w:r w:rsidRPr="000B59C9">
        <w:rPr>
          <w:rFonts w:ascii="Lato" w:eastAsia="Calibri" w:hAnsi="Lato"/>
          <w:i/>
        </w:rPr>
        <w:lastRenderedPageBreak/>
        <w:t>Tomando en consideración que una de las formalidades o garantías del debido proceso –en lo que aquí interesa– es la notificación del inicio del procedimiento y sus consecuencias; tal y como lo estableció el Pleno de la Suprema Corte de Justicia de la Nación a través de la jurisprudencia P</w:t>
      </w:r>
      <w:proofErr w:type="gramStart"/>
      <w:r w:rsidRPr="000B59C9">
        <w:rPr>
          <w:rFonts w:ascii="Lato" w:eastAsia="Calibri" w:hAnsi="Lato"/>
          <w:i/>
        </w:rPr>
        <w:t>./</w:t>
      </w:r>
      <w:proofErr w:type="gramEnd"/>
      <w:r w:rsidRPr="000B59C9">
        <w:rPr>
          <w:rFonts w:ascii="Lato" w:eastAsia="Calibri" w:hAnsi="Lato"/>
          <w:i/>
        </w:rPr>
        <w:t>J. 47/95, del contenido siguiente:</w:t>
      </w:r>
      <w:r w:rsidR="00883F2D" w:rsidRPr="000B59C9">
        <w:rPr>
          <w:rFonts w:ascii="Lato" w:eastAsia="Calibri" w:hAnsi="Lato"/>
          <w:i/>
        </w:rPr>
        <w:t xml:space="preserve"> </w:t>
      </w:r>
      <w:r w:rsidRPr="000B59C9">
        <w:rPr>
          <w:rFonts w:ascii="Lato" w:eastAsia="Calibri" w:hAnsi="Lato"/>
          <w:i/>
        </w:rPr>
        <w:t>“</w:t>
      </w:r>
      <w:r w:rsidRPr="000B59C9">
        <w:rPr>
          <w:rFonts w:ascii="Lato" w:eastAsia="Calibri" w:hAnsi="Lato"/>
          <w:b/>
          <w:i/>
        </w:rPr>
        <w:t>FORMALIDADES ESENCIALES DEL PROCEDIMIENTO. SON LAS QUE GARANTIZAN UNA ADECUADA Y OPORTUNA DEFENSA PREVIA AL ACTO PRIVATIVO.</w:t>
      </w:r>
      <w:r w:rsidRPr="000B59C9">
        <w:rPr>
          <w:rFonts w:ascii="Lato" w:eastAsia="Calibri" w:hAnsi="Lato"/>
          <w:i/>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r w:rsidR="00B10B5B">
        <w:rPr>
          <w:rFonts w:ascii="Lato" w:eastAsia="Calibri" w:hAnsi="Lato"/>
          <w:i/>
        </w:rPr>
        <w:t>.</w:t>
      </w:r>
      <w:r w:rsidR="00883F2D" w:rsidRPr="000B59C9">
        <w:rPr>
          <w:rFonts w:ascii="Lato" w:eastAsia="Calibri" w:hAnsi="Lato"/>
          <w:i/>
        </w:rPr>
        <w:t xml:space="preserve"> </w:t>
      </w:r>
      <w:r w:rsidRPr="000B59C9">
        <w:rPr>
          <w:rFonts w:ascii="Lato" w:eastAsia="Calibri" w:hAnsi="Lato"/>
          <w:b/>
          <w:i/>
        </w:rPr>
        <w:t>Aclarando que a la fecha aún no se tiene certeza si ya se practicó o no el emplazamiento</w:t>
      </w:r>
      <w:r w:rsidRPr="000B59C9">
        <w:rPr>
          <w:rFonts w:ascii="Lato" w:eastAsia="Calibri" w:hAnsi="Lato"/>
          <w:i/>
        </w:rPr>
        <w:t xml:space="preserve"> del Poder Legislativo y Poder Ejecutivo del Estado.</w:t>
      </w:r>
    </w:p>
    <w:p w:rsidR="00206199" w:rsidRPr="00883F2D" w:rsidRDefault="00206199" w:rsidP="008317FC">
      <w:pPr>
        <w:spacing w:line="360" w:lineRule="auto"/>
        <w:jc w:val="both"/>
        <w:rPr>
          <w:rFonts w:ascii="Lato" w:eastAsia="Calibri" w:hAnsi="Lato"/>
        </w:rPr>
      </w:pPr>
      <w:r w:rsidRPr="000B59C9">
        <w:rPr>
          <w:rFonts w:ascii="Lato" w:eastAsia="Calibri" w:hAnsi="Lato"/>
          <w:i/>
        </w:rPr>
        <w:t>Además, debe tomarse en consideración que la igualdad procesal de las partes, inmersa en el derecho al debido proceso, está íntimamente relacionada con el derecho de contradicción y constituye el núcleo fundamental del derecho de audiencia que consiste, en esencia, en que toda petición o pretensión formulada por una de las partes en el proceso, se comunique a la contraria para que ésta pueda prestar a ella su consentimiento o formular su oposición. Así, por el principio de igualdad procesal, se procura la equiparación de oportunidades para ambas partes en las normas procesales</w:t>
      </w:r>
      <w:r w:rsidR="00883F2D" w:rsidRPr="000B59C9">
        <w:rPr>
          <w:rFonts w:ascii="Lato" w:eastAsia="Calibri" w:hAnsi="Lato"/>
          <w:i/>
        </w:rPr>
        <w:t xml:space="preserve"> (…)”</w:t>
      </w:r>
      <w:r w:rsidRPr="00883F2D">
        <w:rPr>
          <w:rFonts w:ascii="Lato" w:eastAsia="Calibri" w:hAnsi="Lato"/>
        </w:rPr>
        <w:t>.</w:t>
      </w:r>
    </w:p>
    <w:p w:rsidR="00883F2D" w:rsidRDefault="00883F2D" w:rsidP="00191D9E">
      <w:pPr>
        <w:spacing w:line="360" w:lineRule="auto"/>
        <w:jc w:val="both"/>
        <w:rPr>
          <w:rFonts w:ascii="Lato" w:hAnsi="Lato" w:cs="Arial"/>
        </w:rPr>
      </w:pPr>
    </w:p>
    <w:p w:rsidR="009270A4" w:rsidRDefault="009270A4" w:rsidP="00191D9E">
      <w:pPr>
        <w:spacing w:line="360" w:lineRule="auto"/>
        <w:jc w:val="both"/>
        <w:rPr>
          <w:rFonts w:ascii="Lato" w:hAnsi="Lato" w:cs="Arial"/>
        </w:rPr>
      </w:pPr>
      <w:r w:rsidRPr="009270A4">
        <w:rPr>
          <w:rFonts w:ascii="Lato" w:hAnsi="Lato" w:cs="Arial"/>
        </w:rPr>
        <w:t xml:space="preserve">En virtud de lo anterior, la Titular de la Unidad de Transparencia, en cumplimiento a lo ordenado por los artículos </w:t>
      </w:r>
      <w:r>
        <w:rPr>
          <w:rFonts w:ascii="Lato" w:hAnsi="Lato" w:cs="Arial"/>
        </w:rPr>
        <w:t>30 fracci</w:t>
      </w:r>
      <w:r w:rsidR="00120E73">
        <w:rPr>
          <w:rFonts w:ascii="Lato" w:hAnsi="Lato" w:cs="Arial"/>
        </w:rPr>
        <w:t xml:space="preserve">ón I y 43 del Reglamento para la Transparencia, Acceso a la información Pública y Protección de Datos Personales del Poder Judicial del Estado de Baja California, </w:t>
      </w:r>
      <w:r w:rsidR="00120E73" w:rsidRPr="00120E73">
        <w:rPr>
          <w:rFonts w:ascii="Lato" w:hAnsi="Lato" w:cs="Arial"/>
          <w:b/>
        </w:rPr>
        <w:t>turna al Comité el proyecto de resolución</w:t>
      </w:r>
      <w:r w:rsidR="00120E73">
        <w:rPr>
          <w:rFonts w:ascii="Lato" w:hAnsi="Lato" w:cs="Arial"/>
        </w:rPr>
        <w:t>.</w:t>
      </w:r>
    </w:p>
    <w:p w:rsidR="00883F2D" w:rsidRPr="000B59C9" w:rsidRDefault="004E6451" w:rsidP="00494940">
      <w:pPr>
        <w:spacing w:line="336" w:lineRule="auto"/>
        <w:jc w:val="both"/>
        <w:rPr>
          <w:rFonts w:ascii="Lato" w:hAnsi="Lato" w:cs="Arial"/>
          <w:b/>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w:t>
      </w:r>
      <w:r w:rsidR="00ED2188">
        <w:rPr>
          <w:rFonts w:ascii="Lato" w:hAnsi="Lato" w:cs="Arial"/>
          <w:b/>
        </w:rPr>
        <w:t xml:space="preserve"> como </w:t>
      </w:r>
      <w:r w:rsidR="00120E73">
        <w:rPr>
          <w:rFonts w:ascii="Lato" w:hAnsi="Lato" w:cs="Arial"/>
          <w:b/>
        </w:rPr>
        <w:t>reservada</w:t>
      </w:r>
      <w:r w:rsidR="00DA3F0D" w:rsidRPr="00762A70">
        <w:rPr>
          <w:rFonts w:ascii="Lato" w:hAnsi="Lato" w:cs="Arial"/>
          <w:b/>
        </w:rPr>
        <w:t xml:space="preserve">. </w:t>
      </w:r>
      <w:r w:rsidR="00D61E3E" w:rsidRPr="00762A70">
        <w:rPr>
          <w:rFonts w:ascii="Lato" w:hAnsi="Lato" w:cs="Arial"/>
        </w:rPr>
        <w:t>Los integrantes del Comité, atendiendo a los artículos 1</w:t>
      </w:r>
      <w:r w:rsidR="00120E73">
        <w:rPr>
          <w:rFonts w:ascii="Lato" w:hAnsi="Lato" w:cs="Arial"/>
        </w:rPr>
        <w:t>57</w:t>
      </w:r>
      <w:r w:rsidR="00522BA8">
        <w:rPr>
          <w:rFonts w:ascii="Lato" w:hAnsi="Lato" w:cs="Arial"/>
        </w:rPr>
        <w:t>, 158, 159</w:t>
      </w:r>
      <w:r w:rsidR="00D61E3E" w:rsidRPr="00762A70">
        <w:rPr>
          <w:rFonts w:ascii="Lato" w:hAnsi="Lato" w:cs="Arial"/>
        </w:rPr>
        <w:t xml:space="preserve"> y </w:t>
      </w:r>
      <w:r w:rsidR="00522BA8">
        <w:rPr>
          <w:rFonts w:ascii="Lato" w:hAnsi="Lato" w:cs="Arial"/>
        </w:rPr>
        <w:t xml:space="preserve">relativos </w:t>
      </w:r>
      <w:r w:rsidR="00D61E3E" w:rsidRPr="00762A70">
        <w:rPr>
          <w:rFonts w:ascii="Lato" w:hAnsi="Lato" w:cs="Arial"/>
        </w:rPr>
        <w:t xml:space="preserve">del Reglamento de la Ley de Transparencia y Acceso a la Información Pública para el Estado de Baja California, por tratarse de </w:t>
      </w:r>
      <w:r w:rsidR="00522BA8">
        <w:rPr>
          <w:rFonts w:ascii="Lato" w:hAnsi="Lato" w:cs="Arial"/>
        </w:rPr>
        <w:t xml:space="preserve">una </w:t>
      </w:r>
      <w:r w:rsidR="00D61E3E" w:rsidRPr="00762A70">
        <w:rPr>
          <w:rFonts w:ascii="Lato" w:hAnsi="Lato" w:cs="Arial"/>
        </w:rPr>
        <w:t>solicitud en la</w:t>
      </w:r>
      <w:r w:rsidR="00F675E4">
        <w:rPr>
          <w:rFonts w:ascii="Lato" w:hAnsi="Lato" w:cs="Arial"/>
        </w:rPr>
        <w:t>s</w:t>
      </w:r>
      <w:r w:rsidR="00D61E3E" w:rsidRPr="00762A70">
        <w:rPr>
          <w:rFonts w:ascii="Lato" w:hAnsi="Lato" w:cs="Arial"/>
        </w:rPr>
        <w:t xml:space="preserve"> que se ve involucrada información </w:t>
      </w:r>
      <w:r w:rsidR="00522BA8">
        <w:rPr>
          <w:rFonts w:ascii="Lato" w:hAnsi="Lato" w:cs="Arial"/>
        </w:rPr>
        <w:t>reservada</w:t>
      </w:r>
      <w:r w:rsidR="00D61E3E" w:rsidRPr="00762A70">
        <w:rPr>
          <w:rFonts w:ascii="Lato" w:hAnsi="Lato" w:cs="Arial"/>
        </w:rPr>
        <w:t>, procedieron a determina</w:t>
      </w:r>
      <w:r w:rsidR="0088095B">
        <w:rPr>
          <w:rFonts w:ascii="Lato" w:hAnsi="Lato" w:cs="Arial"/>
        </w:rPr>
        <w:t xml:space="preserve">r </w:t>
      </w:r>
      <w:r w:rsidR="0088095B" w:rsidRPr="00522BA8">
        <w:rPr>
          <w:rFonts w:ascii="Lato" w:hAnsi="Lato" w:cs="Arial"/>
          <w:b/>
        </w:rPr>
        <w:t xml:space="preserve">si </w:t>
      </w:r>
      <w:r w:rsidR="00522BA8" w:rsidRPr="00522BA8">
        <w:rPr>
          <w:rFonts w:ascii="Lato" w:hAnsi="Lato" w:cs="Arial"/>
          <w:b/>
        </w:rPr>
        <w:t>la clasificación de la información está debidamente fundada y motivada</w:t>
      </w:r>
      <w:r w:rsidR="00522BA8">
        <w:rPr>
          <w:rFonts w:ascii="Lato" w:hAnsi="Lato" w:cs="Arial"/>
        </w:rPr>
        <w:t xml:space="preserve">, </w:t>
      </w:r>
      <w:r w:rsidR="00D61E3E" w:rsidRPr="00522BA8">
        <w:rPr>
          <w:rFonts w:ascii="Lato" w:hAnsi="Lato" w:cs="Arial"/>
          <w:b/>
        </w:rPr>
        <w:t>aplicando la prueba de daño</w:t>
      </w:r>
      <w:r w:rsidR="00D61E3E" w:rsidRPr="00762A70">
        <w:rPr>
          <w:rFonts w:ascii="Lato" w:hAnsi="Lato" w:cs="Arial"/>
          <w:b/>
        </w:rPr>
        <w:t xml:space="preserve"> </w:t>
      </w:r>
      <w:r w:rsidR="00D61E3E" w:rsidRPr="00762A70">
        <w:rPr>
          <w:rFonts w:ascii="Lato" w:hAnsi="Lato" w:cs="Arial"/>
        </w:rPr>
        <w:t>a que se refiere</w:t>
      </w:r>
      <w:r w:rsidR="00522BA8">
        <w:rPr>
          <w:rFonts w:ascii="Lato" w:hAnsi="Lato" w:cs="Arial"/>
        </w:rPr>
        <w:t xml:space="preserve">n los </w:t>
      </w:r>
      <w:r w:rsidR="00D61E3E" w:rsidRPr="00762A70">
        <w:rPr>
          <w:rFonts w:ascii="Lato" w:hAnsi="Lato" w:cs="Arial"/>
        </w:rPr>
        <w:t>artículo</w:t>
      </w:r>
      <w:r w:rsidR="00522BA8">
        <w:rPr>
          <w:rFonts w:ascii="Lato" w:hAnsi="Lato" w:cs="Arial"/>
        </w:rPr>
        <w:t>s 108 y</w:t>
      </w:r>
      <w:r w:rsidR="00D61E3E" w:rsidRPr="00762A70">
        <w:rPr>
          <w:rFonts w:ascii="Lato" w:hAnsi="Lato" w:cs="Arial"/>
        </w:rPr>
        <w:t xml:space="preserve"> 109 de la Ley local de transparencia y </w:t>
      </w:r>
      <w:r w:rsidR="00522BA8">
        <w:rPr>
          <w:rFonts w:ascii="Lato" w:hAnsi="Lato" w:cs="Arial"/>
        </w:rPr>
        <w:t xml:space="preserve">acceso a la información pública, verificando </w:t>
      </w:r>
      <w:r w:rsidR="00522BA8" w:rsidRPr="00522BA8">
        <w:rPr>
          <w:rFonts w:ascii="Lato" w:hAnsi="Lato" w:cs="Arial"/>
          <w:b/>
        </w:rPr>
        <w:t>si se actualiza alguna causal de reserva</w:t>
      </w:r>
      <w:r w:rsidR="00522BA8">
        <w:rPr>
          <w:rFonts w:ascii="Lato" w:hAnsi="Lato" w:cs="Arial"/>
        </w:rPr>
        <w:t xml:space="preserve"> establecida en el artículo 110 de la ley de la materia, para justificar la reserva de la información, </w:t>
      </w:r>
      <w:r w:rsidR="00D61E3E" w:rsidRPr="00762A70">
        <w:rPr>
          <w:rFonts w:ascii="Lato" w:hAnsi="Lato" w:cs="Arial"/>
        </w:rPr>
        <w:t>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 xml:space="preserve">y que </w:t>
      </w:r>
      <w:r w:rsidR="00F675E4" w:rsidRPr="000B59C9">
        <w:rPr>
          <w:rFonts w:ascii="Lato" w:hAnsi="Lato" w:cs="Arial"/>
        </w:rPr>
        <w:t>l</w:t>
      </w:r>
      <w:r w:rsidR="00DA3F0D" w:rsidRPr="000B59C9">
        <w:rPr>
          <w:rFonts w:ascii="Lato" w:hAnsi="Lato" w:cs="Arial"/>
        </w:rPr>
        <w:t>a</w:t>
      </w:r>
      <w:r w:rsidR="0047656D" w:rsidRPr="000B59C9">
        <w:rPr>
          <w:rFonts w:ascii="Lato" w:hAnsi="Lato" w:cs="Arial"/>
        </w:rPr>
        <w:t xml:space="preserve"> versió</w:t>
      </w:r>
      <w:r w:rsidR="00DA3F0D" w:rsidRPr="000B59C9">
        <w:rPr>
          <w:rFonts w:ascii="Lato" w:hAnsi="Lato" w:cs="Arial"/>
        </w:rPr>
        <w:t>n pública de documentos y resoluciones, permite la consulta de todo interesado en la actuación de los órganos</w:t>
      </w:r>
      <w:r w:rsidR="00DA3F0D" w:rsidRPr="00762A70">
        <w:rPr>
          <w:rFonts w:ascii="Lato" w:hAnsi="Lato" w:cs="Arial"/>
          <w:b/>
        </w:rPr>
        <w:t xml:space="preserve">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w:t>
      </w:r>
      <w:r w:rsidR="00DA3F0D" w:rsidRPr="000B59C9">
        <w:rPr>
          <w:rFonts w:ascii="Lato" w:hAnsi="Lato" w:cs="Arial"/>
        </w:rPr>
        <w:t>suprimiendo la información</w:t>
      </w:r>
      <w:r w:rsidR="00DA3F0D" w:rsidRPr="00762A70">
        <w:rPr>
          <w:rFonts w:ascii="Lato" w:hAnsi="Lato" w:cs="Arial"/>
        </w:rPr>
        <w:t xml:space="preserve"> considerada confidencial o </w:t>
      </w:r>
      <w:r w:rsidR="00DA3F0D" w:rsidRPr="000B59C9">
        <w:rPr>
          <w:rFonts w:ascii="Lato" w:hAnsi="Lato" w:cs="Arial"/>
        </w:rPr>
        <w:t>reservada,</w:t>
      </w:r>
      <w:r w:rsidR="00DA3F0D" w:rsidRPr="00762A70">
        <w:rPr>
          <w:rFonts w:ascii="Lato" w:hAnsi="Lato" w:cs="Arial"/>
        </w:rPr>
        <w:t xml:space="preserve"> lo que </w:t>
      </w:r>
      <w:r w:rsidR="00DA3F0D" w:rsidRPr="00762A70">
        <w:rPr>
          <w:rFonts w:ascii="Lato" w:hAnsi="Lato" w:cs="Arial"/>
          <w:b/>
        </w:rPr>
        <w:t xml:space="preserve">requiere </w:t>
      </w:r>
      <w:r w:rsidR="00DA3F0D" w:rsidRPr="000B59C9">
        <w:rPr>
          <w:rFonts w:ascii="Lato" w:hAnsi="Lato" w:cs="Arial"/>
        </w:rPr>
        <w:t xml:space="preserve">como acto conjunto a su elaboración, </w:t>
      </w:r>
      <w:r w:rsidR="00DA3F0D" w:rsidRPr="00762A70">
        <w:rPr>
          <w:rFonts w:ascii="Lato" w:hAnsi="Lato" w:cs="Arial"/>
          <w:b/>
        </w:rPr>
        <w:t>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r w:rsidR="00C219CB" w:rsidRPr="00C219CB">
        <w:rPr>
          <w:rFonts w:ascii="Lato" w:hAnsi="Lato" w:cs="Arial"/>
        </w:rPr>
        <w:t>En el caso que nos ocupa</w:t>
      </w:r>
      <w:r w:rsidR="00C219CB">
        <w:rPr>
          <w:rFonts w:ascii="Lato" w:hAnsi="Lato" w:cs="Arial"/>
          <w:b/>
        </w:rPr>
        <w:t xml:space="preserve">, </w:t>
      </w:r>
      <w:r w:rsidR="00C219CB" w:rsidRPr="000B59C9">
        <w:rPr>
          <w:rFonts w:ascii="Lato" w:hAnsi="Lato" w:cs="Arial"/>
          <w:b/>
        </w:rPr>
        <w:t>no se elabor</w:t>
      </w:r>
      <w:r w:rsidR="00883F2D" w:rsidRPr="000B59C9">
        <w:rPr>
          <w:rFonts w:ascii="Lato" w:hAnsi="Lato" w:cs="Arial"/>
          <w:b/>
        </w:rPr>
        <w:t>ó</w:t>
      </w:r>
      <w:r w:rsidR="00C219CB" w:rsidRPr="000B59C9">
        <w:rPr>
          <w:rFonts w:ascii="Lato" w:hAnsi="Lato" w:cs="Arial"/>
          <w:b/>
        </w:rPr>
        <w:t xml:space="preserve"> versi</w:t>
      </w:r>
      <w:r w:rsidR="00883F2D" w:rsidRPr="000B59C9">
        <w:rPr>
          <w:rFonts w:ascii="Lato" w:hAnsi="Lato" w:cs="Arial"/>
          <w:b/>
        </w:rPr>
        <w:t>ón</w:t>
      </w:r>
      <w:r w:rsidR="00C219CB" w:rsidRPr="000B59C9">
        <w:rPr>
          <w:rFonts w:ascii="Lato" w:hAnsi="Lato" w:cs="Arial"/>
          <w:b/>
        </w:rPr>
        <w:t xml:space="preserve"> pública, pues se consideró que la</w:t>
      </w:r>
      <w:r w:rsidR="00883F2D" w:rsidRPr="000B59C9">
        <w:rPr>
          <w:rFonts w:ascii="Lato" w:hAnsi="Lato" w:cs="Arial"/>
          <w:b/>
        </w:rPr>
        <w:t xml:space="preserve"> demanda de controversia constitucional aún se encuentra en trámite de notificación y emplazamiento. </w:t>
      </w:r>
    </w:p>
    <w:p w:rsidR="00883F2D" w:rsidRPr="00B10B5B" w:rsidRDefault="00883F2D" w:rsidP="00494940">
      <w:pPr>
        <w:spacing w:line="336" w:lineRule="auto"/>
        <w:jc w:val="both"/>
        <w:rPr>
          <w:rFonts w:ascii="Lato" w:hAnsi="Lato" w:cs="Arial"/>
          <w:sz w:val="18"/>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w:t>
      </w:r>
      <w:r w:rsidR="00C219CB">
        <w:rPr>
          <w:rFonts w:ascii="Lato" w:hAnsi="Lato" w:cs="Arial"/>
          <w:b/>
        </w:rPr>
        <w:t xml:space="preserve">reservada </w:t>
      </w:r>
      <w:r w:rsidR="00DA3F0D" w:rsidRPr="00F675E4">
        <w:rPr>
          <w:rFonts w:ascii="Lato" w:hAnsi="Lato" w:cs="Arial"/>
          <w:b/>
        </w:rPr>
        <w:t xml:space="preserve">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B10B5B" w:rsidRPr="00B10B5B" w:rsidRDefault="00B10B5B" w:rsidP="00494940">
      <w:pPr>
        <w:spacing w:line="336" w:lineRule="auto"/>
        <w:jc w:val="both"/>
        <w:rPr>
          <w:rFonts w:ascii="Lato" w:hAnsi="Lato" w:cs="Arial"/>
          <w:sz w:val="18"/>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C219CB">
        <w:rPr>
          <w:rFonts w:ascii="Lato" w:hAnsi="Lato" w:cs="Arial"/>
          <w:b/>
        </w:rPr>
        <w:t xml:space="preserve"> como reservada</w:t>
      </w:r>
      <w:r w:rsidR="00DA3F0D" w:rsidRPr="00762A70">
        <w:rPr>
          <w:rFonts w:ascii="Lato" w:hAnsi="Lato" w:cs="Arial"/>
          <w:b/>
        </w:rPr>
        <w:t>.</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w:t>
      </w:r>
      <w:r w:rsidR="00C219CB">
        <w:rPr>
          <w:rFonts w:ascii="Lato" w:hAnsi="Lato" w:cs="Arial"/>
        </w:rPr>
        <w:t xml:space="preserve"> de reserva o confidencialidad. El diverso numeral 108</w:t>
      </w:r>
      <w:r w:rsidR="00883F2D">
        <w:rPr>
          <w:rFonts w:ascii="Lato" w:hAnsi="Lato" w:cs="Arial"/>
        </w:rPr>
        <w:t>,</w:t>
      </w:r>
      <w:r w:rsidR="00471EC6">
        <w:rPr>
          <w:rFonts w:ascii="Lato" w:hAnsi="Lato" w:cs="Arial"/>
        </w:rPr>
        <w:t xml:space="preserve"> dispone que sólo </w:t>
      </w:r>
      <w:proofErr w:type="gramStart"/>
      <w:r w:rsidR="00471EC6">
        <w:rPr>
          <w:rFonts w:ascii="Lato" w:hAnsi="Lato" w:cs="Arial"/>
        </w:rPr>
        <w:t>podr</w:t>
      </w:r>
      <w:r w:rsidR="00B10B5B">
        <w:rPr>
          <w:rFonts w:ascii="Lato" w:hAnsi="Lato" w:cs="Arial"/>
        </w:rPr>
        <w:t>á</w:t>
      </w:r>
      <w:proofErr w:type="gramEnd"/>
      <w:r w:rsidR="00C219CB">
        <w:rPr>
          <w:rFonts w:ascii="Lato" w:hAnsi="Lato" w:cs="Arial"/>
        </w:rPr>
        <w:t xml:space="preserve"> clasificarse la información como reservada en los supuestos que establece el artículo 109 de la misma ley.</w:t>
      </w:r>
    </w:p>
    <w:p w:rsidR="00DA3F0D" w:rsidRDefault="00DA3F0D" w:rsidP="00494940">
      <w:pPr>
        <w:spacing w:line="336" w:lineRule="auto"/>
        <w:jc w:val="both"/>
        <w:rPr>
          <w:rFonts w:ascii="Lato" w:hAnsi="Lato" w:cs="Arial"/>
        </w:rPr>
      </w:pPr>
      <w:r w:rsidRPr="00762A70">
        <w:rPr>
          <w:rFonts w:ascii="Lato" w:hAnsi="Lato" w:cs="Arial"/>
        </w:rPr>
        <w:lastRenderedPageBreak/>
        <w:t xml:space="preserve">En </w:t>
      </w:r>
      <w:r w:rsidR="00C219CB">
        <w:rPr>
          <w:rFonts w:ascii="Lato" w:hAnsi="Lato" w:cs="Arial"/>
        </w:rPr>
        <w:t>e</w:t>
      </w:r>
      <w:r w:rsidR="00191D9E">
        <w:rPr>
          <w:rFonts w:ascii="Lato" w:hAnsi="Lato" w:cs="Arial"/>
        </w:rPr>
        <w:t>l</w:t>
      </w:r>
      <w:r w:rsidR="00E751A7">
        <w:rPr>
          <w:rFonts w:ascii="Lato" w:hAnsi="Lato" w:cs="Arial"/>
        </w:rPr>
        <w:t xml:space="preserve">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B10B5B" w:rsidRDefault="009424B5" w:rsidP="00D5635F">
      <w:pPr>
        <w:spacing w:line="348" w:lineRule="auto"/>
        <w:jc w:val="both"/>
        <w:rPr>
          <w:rFonts w:ascii="Lato" w:hAnsi="Lato" w:cs="Arial"/>
          <w:sz w:val="14"/>
        </w:rPr>
      </w:pPr>
    </w:p>
    <w:p w:rsidR="00471EC6" w:rsidRDefault="00800776" w:rsidP="00494940">
      <w:pPr>
        <w:spacing w:line="336" w:lineRule="auto"/>
        <w:jc w:val="both"/>
        <w:rPr>
          <w:rFonts w:ascii="Lato" w:eastAsia="Calibri" w:hAnsi="Lato"/>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43BD6">
        <w:rPr>
          <w:rFonts w:ascii="Lato" w:hAnsi="Lato" w:cs="Arial"/>
        </w:rPr>
        <w:t xml:space="preserve">Se trata de la solicitud de </w:t>
      </w:r>
      <w:r w:rsidR="000B59C9">
        <w:rPr>
          <w:rFonts w:ascii="Lato" w:hAnsi="Lato" w:cs="Arial"/>
        </w:rPr>
        <w:t xml:space="preserve">una copia íntegra del escrito que contiene la demanda de controversia constitucional interpuesta en contra del </w:t>
      </w:r>
      <w:r w:rsidR="000B59C9" w:rsidRPr="000B59C9">
        <w:rPr>
          <w:rFonts w:ascii="Lato" w:hAnsi="Lato" w:cs="Arial"/>
        </w:rPr>
        <w:t>D</w:t>
      </w:r>
      <w:r w:rsidR="000B59C9" w:rsidRPr="000B59C9">
        <w:rPr>
          <w:rFonts w:ascii="Lato" w:eastAsia="Calibri" w:hAnsi="Lato"/>
        </w:rPr>
        <w:t xml:space="preserve">ictamen 49, </w:t>
      </w:r>
      <w:r w:rsidR="000B59C9">
        <w:rPr>
          <w:rFonts w:ascii="Lato" w:eastAsia="Calibri" w:hAnsi="Lato"/>
        </w:rPr>
        <w:t xml:space="preserve">relativo al </w:t>
      </w:r>
      <w:r w:rsidR="000B59C9" w:rsidRPr="000B59C9">
        <w:rPr>
          <w:rFonts w:ascii="Lato" w:eastAsia="Calibri" w:hAnsi="Lato"/>
        </w:rPr>
        <w:t xml:space="preserve">Decreto número 110, publicado en el Periódico Oficial del Estado de Baja California, el </w:t>
      </w:r>
      <w:r w:rsidR="000B59C9">
        <w:rPr>
          <w:rFonts w:ascii="Lato" w:eastAsia="Calibri" w:hAnsi="Lato"/>
        </w:rPr>
        <w:t xml:space="preserve">19 de octubre del 2020, </w:t>
      </w:r>
      <w:r w:rsidR="000B59C9" w:rsidRPr="000B59C9">
        <w:rPr>
          <w:rFonts w:ascii="Lato" w:eastAsia="Calibri" w:hAnsi="Lato"/>
        </w:rPr>
        <w:t>mediante el cual se aprobaron reformas a los artículos 18, 27, 42, 49, 55, 57, 58, 59, 60, 61, 62, 63, 64, 65, 66, 67, 90, 93, 94, 95, 107 y 109, todos de la Constitución del Estado Libr</w:t>
      </w:r>
      <w:r w:rsidR="000B59C9">
        <w:rPr>
          <w:rFonts w:ascii="Lato" w:eastAsia="Calibri" w:hAnsi="Lato"/>
        </w:rPr>
        <w:t>e y Soberano de Baja California, la cual fue admitida</w:t>
      </w:r>
      <w:r w:rsidR="00471EC6">
        <w:rPr>
          <w:rFonts w:ascii="Lato" w:eastAsia="Calibri" w:hAnsi="Lato"/>
        </w:rPr>
        <w:t>, ordenándose el emplazamiento correspondiente, desconociéndose a la fecha si ya fue realizada esta actuación por el Órgano Federal competente.</w:t>
      </w:r>
    </w:p>
    <w:p w:rsidR="000B59C9" w:rsidRPr="00B10B5B" w:rsidRDefault="00471EC6" w:rsidP="00B10B5B">
      <w:pPr>
        <w:spacing w:line="348" w:lineRule="auto"/>
        <w:jc w:val="both"/>
        <w:rPr>
          <w:rFonts w:ascii="Lato" w:hAnsi="Lato" w:cs="Arial"/>
          <w:sz w:val="18"/>
        </w:rPr>
      </w:pPr>
      <w:r w:rsidRPr="00B10B5B">
        <w:rPr>
          <w:rFonts w:ascii="Lato" w:hAnsi="Lato" w:cs="Arial"/>
          <w:sz w:val="18"/>
        </w:rPr>
        <w:t xml:space="preserve"> </w:t>
      </w:r>
    </w:p>
    <w:p w:rsidR="00471EC6" w:rsidRDefault="009D4F12" w:rsidP="00494940">
      <w:pPr>
        <w:spacing w:line="336" w:lineRule="auto"/>
        <w:jc w:val="both"/>
        <w:rPr>
          <w:rFonts w:ascii="Lato" w:hAnsi="Lato" w:cs="Helvetica"/>
          <w:color w:val="2F2F2F"/>
        </w:rPr>
      </w:pPr>
      <w:r>
        <w:rPr>
          <w:rFonts w:ascii="Lato" w:hAnsi="Lato" w:cs="Arial"/>
        </w:rPr>
        <w:t>2</w:t>
      </w:r>
      <w:r w:rsidR="00DA3F0D" w:rsidRPr="00762A70">
        <w:rPr>
          <w:rFonts w:ascii="Lato" w:hAnsi="Lato" w:cs="Arial"/>
        </w:rPr>
        <w:t>.</w:t>
      </w:r>
      <w:r w:rsidR="00F63A65">
        <w:rPr>
          <w:rFonts w:ascii="Lato" w:hAnsi="Lato" w:cs="Arial"/>
        </w:rPr>
        <w:t>1.</w:t>
      </w:r>
      <w:r w:rsidR="00B524DB">
        <w:rPr>
          <w:rFonts w:ascii="Lato" w:hAnsi="Lato" w:cs="Arial"/>
        </w:rPr>
        <w:t>2</w:t>
      </w:r>
      <w:r w:rsidR="00DA3F0D" w:rsidRPr="00762A70">
        <w:rPr>
          <w:rFonts w:ascii="Lato" w:hAnsi="Lato" w:cs="Arial"/>
        </w:rPr>
        <w:t xml:space="preserve">) </w:t>
      </w:r>
      <w:r w:rsidR="00471EC6">
        <w:rPr>
          <w:rFonts w:ascii="Lato" w:hAnsi="Lato" w:cs="Arial"/>
        </w:rPr>
        <w:t xml:space="preserve">El caso concreto que nos ocupa, encuentra fundamento legal para su reserva en el supuesto establecido en la fracción X del artículo 113 de la Ley General de Transparencia, que se replica en la fracción IX del artículo 110 de la Ley de Transparencia y Acceso a la Información Pública para el Estado de Baja California, que permiten clasificar la información como reservada, </w:t>
      </w:r>
      <w:r w:rsidR="003D5320">
        <w:rPr>
          <w:rFonts w:ascii="Lato" w:hAnsi="Lato" w:cs="Arial"/>
        </w:rPr>
        <w:t xml:space="preserve">cuando afecte los derechos del debido proceso. Esta hipótesis fue desarrollada en </w:t>
      </w:r>
      <w:r w:rsidR="003D5320" w:rsidRPr="003D5320">
        <w:rPr>
          <w:rFonts w:ascii="Lato" w:hAnsi="Lato" w:cs="Helvetica"/>
          <w:color w:val="2F2F2F"/>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r w:rsidR="003D5320">
        <w:rPr>
          <w:rFonts w:ascii="Lato" w:hAnsi="Lato" w:cs="Helvetica"/>
          <w:color w:val="2F2F2F"/>
        </w:rPr>
        <w:t>, que en su lineamiento Vigésimo Noveno establece:</w:t>
      </w:r>
    </w:p>
    <w:p w:rsidR="003D5320" w:rsidRDefault="003D5320" w:rsidP="003D5320">
      <w:pPr>
        <w:shd w:val="clear" w:color="auto" w:fill="FFFFFF"/>
        <w:ind w:firstLine="288"/>
        <w:jc w:val="both"/>
        <w:rPr>
          <w:rFonts w:ascii="Helvetica" w:eastAsia="Times New Roman" w:hAnsi="Helvetica" w:cs="Helvetica"/>
          <w:b/>
          <w:bCs/>
          <w:color w:val="2F2F2F"/>
          <w:sz w:val="18"/>
          <w:szCs w:val="18"/>
          <w:lang w:eastAsia="es-MX"/>
        </w:rPr>
      </w:pPr>
    </w:p>
    <w:p w:rsidR="003D5320" w:rsidRPr="003D5320" w:rsidRDefault="003D5320" w:rsidP="003D5320">
      <w:pPr>
        <w:shd w:val="clear" w:color="auto" w:fill="FFFFFF"/>
        <w:spacing w:line="360" w:lineRule="auto"/>
        <w:jc w:val="both"/>
        <w:rPr>
          <w:rFonts w:ascii="Lato" w:eastAsia="Times New Roman" w:hAnsi="Lato" w:cs="Arial"/>
          <w:i/>
          <w:color w:val="2F2F2F"/>
          <w:lang w:eastAsia="es-MX"/>
        </w:rPr>
      </w:pPr>
      <w:r>
        <w:rPr>
          <w:rFonts w:ascii="Lato" w:eastAsia="Times New Roman" w:hAnsi="Lato" w:cs="Helvetica"/>
          <w:b/>
          <w:bCs/>
          <w:i/>
          <w:color w:val="2F2F2F"/>
          <w:lang w:eastAsia="es-MX"/>
        </w:rPr>
        <w:t>“</w:t>
      </w:r>
      <w:r w:rsidRPr="003D5320">
        <w:rPr>
          <w:rFonts w:ascii="Lato" w:eastAsia="Times New Roman" w:hAnsi="Lato" w:cs="Helvetica"/>
          <w:b/>
          <w:bCs/>
          <w:i/>
          <w:color w:val="2F2F2F"/>
          <w:lang w:eastAsia="es-MX"/>
        </w:rPr>
        <w:t>Vigésimo noveno.</w:t>
      </w:r>
      <w:r w:rsidRPr="003D5320">
        <w:rPr>
          <w:rFonts w:ascii="Lato" w:eastAsia="Times New Roman" w:hAnsi="Lato" w:cs="Helvetica"/>
          <w:i/>
          <w:color w:val="2F2F2F"/>
          <w:lang w:eastAsia="es-MX"/>
        </w:rPr>
        <w:t xml:space="preserve"> De conformidad con el artículo 113, fracción X de la Ley General, </w:t>
      </w:r>
      <w:r w:rsidRPr="003D5320">
        <w:rPr>
          <w:rFonts w:ascii="Lato" w:eastAsia="Times New Roman" w:hAnsi="Lato" w:cs="Helvetica"/>
          <w:b/>
          <w:i/>
          <w:color w:val="2F2F2F"/>
          <w:lang w:eastAsia="es-MX"/>
        </w:rPr>
        <w:t>podrá considerarse como información reservada, aquella que de divulgarse afecte el debido proceso</w:t>
      </w:r>
      <w:r w:rsidRPr="003D5320">
        <w:rPr>
          <w:rFonts w:ascii="Lato" w:eastAsia="Times New Roman" w:hAnsi="Lato" w:cs="Helvetica"/>
          <w:i/>
          <w:color w:val="2F2F2F"/>
          <w:lang w:eastAsia="es-MX"/>
        </w:rPr>
        <w:t xml:space="preserve"> </w:t>
      </w:r>
      <w:r w:rsidRPr="003D5320">
        <w:rPr>
          <w:rFonts w:ascii="Lato" w:eastAsia="Times New Roman" w:hAnsi="Lato" w:cs="Helvetica"/>
          <w:b/>
          <w:i/>
          <w:color w:val="2F2F2F"/>
          <w:lang w:eastAsia="es-MX"/>
        </w:rPr>
        <w:t>al actualizarse los siguientes elementos</w:t>
      </w:r>
      <w:r w:rsidRPr="003D5320">
        <w:rPr>
          <w:rFonts w:ascii="Lato" w:eastAsia="Times New Roman" w:hAnsi="Lato" w:cs="Helvetica"/>
          <w:i/>
          <w:color w:val="2F2F2F"/>
          <w:lang w:eastAsia="es-MX"/>
        </w:rPr>
        <w:t>:</w:t>
      </w:r>
    </w:p>
    <w:p w:rsidR="003D5320" w:rsidRPr="003D5320" w:rsidRDefault="003D5320" w:rsidP="003D5320">
      <w:pPr>
        <w:shd w:val="clear" w:color="auto" w:fill="FFFFFF"/>
        <w:spacing w:line="360" w:lineRule="auto"/>
        <w:jc w:val="both"/>
        <w:rPr>
          <w:rFonts w:ascii="Lato" w:eastAsia="Times New Roman" w:hAnsi="Lato" w:cs="Arial"/>
          <w:i/>
          <w:color w:val="2F2F2F"/>
          <w:lang w:eastAsia="es-MX"/>
        </w:rPr>
      </w:pPr>
      <w:r w:rsidRPr="003D5320">
        <w:rPr>
          <w:rFonts w:ascii="Lato" w:eastAsia="Times New Roman" w:hAnsi="Lato" w:cs="Helvetica"/>
          <w:b/>
          <w:bCs/>
          <w:i/>
          <w:color w:val="2F2F2F"/>
          <w:lang w:eastAsia="es-MX"/>
        </w:rPr>
        <w:t>I.</w:t>
      </w:r>
      <w:r w:rsidRPr="003D5320">
        <w:rPr>
          <w:rFonts w:ascii="Lato" w:eastAsia="Times New Roman" w:hAnsi="Lato" w:cs="Arial"/>
          <w:i/>
          <w:color w:val="2F2F2F"/>
          <w:lang w:eastAsia="es-MX"/>
        </w:rPr>
        <w:t>        </w:t>
      </w:r>
      <w:r w:rsidRPr="003D5320">
        <w:rPr>
          <w:rFonts w:ascii="Lato" w:eastAsia="Times New Roman" w:hAnsi="Lato" w:cs="Helvetica"/>
          <w:i/>
          <w:color w:val="2F2F2F"/>
          <w:lang w:eastAsia="es-MX"/>
        </w:rPr>
        <w:t>La existencia de un procedimiento judicial, administrativo o arbitral en trámite;</w:t>
      </w:r>
    </w:p>
    <w:p w:rsidR="003D5320" w:rsidRPr="003D5320" w:rsidRDefault="003D5320" w:rsidP="003D5320">
      <w:pPr>
        <w:shd w:val="clear" w:color="auto" w:fill="FFFFFF"/>
        <w:spacing w:line="360" w:lineRule="auto"/>
        <w:jc w:val="both"/>
        <w:rPr>
          <w:rFonts w:ascii="Lato" w:eastAsia="Times New Roman" w:hAnsi="Lato" w:cs="Arial"/>
          <w:i/>
          <w:color w:val="2F2F2F"/>
          <w:lang w:eastAsia="es-MX"/>
        </w:rPr>
      </w:pPr>
      <w:r w:rsidRPr="003D5320">
        <w:rPr>
          <w:rFonts w:ascii="Lato" w:eastAsia="Times New Roman" w:hAnsi="Lato" w:cs="Helvetica"/>
          <w:b/>
          <w:bCs/>
          <w:i/>
          <w:color w:val="2F2F2F"/>
          <w:lang w:eastAsia="es-MX"/>
        </w:rPr>
        <w:t>II.</w:t>
      </w:r>
      <w:r w:rsidRPr="003D5320">
        <w:rPr>
          <w:rFonts w:ascii="Lato" w:eastAsia="Times New Roman" w:hAnsi="Lato" w:cs="Arial"/>
          <w:i/>
          <w:color w:val="2F2F2F"/>
          <w:lang w:eastAsia="es-MX"/>
        </w:rPr>
        <w:t>       </w:t>
      </w:r>
      <w:r w:rsidRPr="003D5320">
        <w:rPr>
          <w:rFonts w:ascii="Lato" w:eastAsia="Times New Roman" w:hAnsi="Lato" w:cs="Helvetica"/>
          <w:i/>
          <w:color w:val="2F2F2F"/>
          <w:lang w:eastAsia="es-MX"/>
        </w:rPr>
        <w:t>Que el sujeto obligado sea parte en ese procedimiento;</w:t>
      </w:r>
    </w:p>
    <w:p w:rsidR="003D5320" w:rsidRPr="003D5320" w:rsidRDefault="003D5320" w:rsidP="003D5320">
      <w:pPr>
        <w:shd w:val="clear" w:color="auto" w:fill="FFFFFF"/>
        <w:spacing w:line="360" w:lineRule="auto"/>
        <w:jc w:val="both"/>
        <w:rPr>
          <w:rFonts w:ascii="Lato" w:eastAsia="Times New Roman" w:hAnsi="Lato" w:cs="Arial"/>
          <w:i/>
          <w:color w:val="2F2F2F"/>
          <w:lang w:eastAsia="es-MX"/>
        </w:rPr>
      </w:pPr>
      <w:r w:rsidRPr="003D5320">
        <w:rPr>
          <w:rFonts w:ascii="Lato" w:eastAsia="Times New Roman" w:hAnsi="Lato" w:cs="Helvetica"/>
          <w:b/>
          <w:bCs/>
          <w:i/>
          <w:color w:val="2F2F2F"/>
          <w:lang w:eastAsia="es-MX"/>
        </w:rPr>
        <w:t>III.</w:t>
      </w:r>
      <w:r w:rsidRPr="003D5320">
        <w:rPr>
          <w:rFonts w:ascii="Lato" w:eastAsia="Times New Roman" w:hAnsi="Lato" w:cs="Arial"/>
          <w:i/>
          <w:color w:val="2F2F2F"/>
          <w:lang w:eastAsia="es-MX"/>
        </w:rPr>
        <w:t>      </w:t>
      </w:r>
      <w:r w:rsidRPr="003D5320">
        <w:rPr>
          <w:rFonts w:ascii="Lato" w:eastAsia="Times New Roman" w:hAnsi="Lato" w:cs="Helvetica"/>
          <w:i/>
          <w:color w:val="2F2F2F"/>
          <w:lang w:eastAsia="es-MX"/>
        </w:rPr>
        <w:t>Que la información no sea conocida por la contraparte antes de la presentación de la misma en el proceso, y</w:t>
      </w:r>
    </w:p>
    <w:p w:rsidR="003D5320" w:rsidRDefault="003D5320" w:rsidP="003D5320">
      <w:pPr>
        <w:shd w:val="clear" w:color="auto" w:fill="FFFFFF"/>
        <w:spacing w:line="360" w:lineRule="auto"/>
        <w:jc w:val="both"/>
        <w:rPr>
          <w:rFonts w:ascii="Lato" w:eastAsia="Times New Roman" w:hAnsi="Lato" w:cs="Helvetica"/>
          <w:i/>
          <w:color w:val="2F2F2F"/>
          <w:lang w:eastAsia="es-MX"/>
        </w:rPr>
      </w:pPr>
      <w:r w:rsidRPr="003D5320">
        <w:rPr>
          <w:rFonts w:ascii="Lato" w:eastAsia="Times New Roman" w:hAnsi="Lato" w:cs="Helvetica"/>
          <w:b/>
          <w:bCs/>
          <w:i/>
          <w:color w:val="2F2F2F"/>
          <w:lang w:eastAsia="es-MX"/>
        </w:rPr>
        <w:t>IV.</w:t>
      </w:r>
      <w:r w:rsidRPr="003D5320">
        <w:rPr>
          <w:rFonts w:ascii="Lato" w:eastAsia="Times New Roman" w:hAnsi="Lato" w:cs="Arial"/>
          <w:i/>
          <w:color w:val="2F2F2F"/>
          <w:lang w:eastAsia="es-MX"/>
        </w:rPr>
        <w:t>      </w:t>
      </w:r>
      <w:r w:rsidRPr="003D5320">
        <w:rPr>
          <w:rFonts w:ascii="Lato" w:eastAsia="Times New Roman" w:hAnsi="Lato" w:cs="Helvetica"/>
          <w:i/>
          <w:color w:val="2F2F2F"/>
          <w:lang w:eastAsia="es-MX"/>
        </w:rPr>
        <w:t>Que con su divulgación se afecte la oportunidad de llevar a cabo alguna de las garantías del debido proceso</w:t>
      </w:r>
      <w:r>
        <w:rPr>
          <w:rFonts w:ascii="Lato" w:eastAsia="Times New Roman" w:hAnsi="Lato" w:cs="Helvetica"/>
          <w:i/>
          <w:color w:val="2F2F2F"/>
          <w:lang w:eastAsia="es-MX"/>
        </w:rPr>
        <w:t>”</w:t>
      </w:r>
      <w:r w:rsidRPr="003D5320">
        <w:rPr>
          <w:rFonts w:ascii="Lato" w:eastAsia="Times New Roman" w:hAnsi="Lato" w:cs="Helvetica"/>
          <w:i/>
          <w:color w:val="2F2F2F"/>
          <w:lang w:eastAsia="es-MX"/>
        </w:rPr>
        <w:t>.</w:t>
      </w:r>
    </w:p>
    <w:p w:rsidR="003D5320" w:rsidRDefault="003D5320" w:rsidP="003D5320">
      <w:pPr>
        <w:shd w:val="clear" w:color="auto" w:fill="FFFFFF"/>
        <w:spacing w:line="360" w:lineRule="auto"/>
        <w:jc w:val="both"/>
        <w:rPr>
          <w:rFonts w:ascii="Lato" w:eastAsia="Times New Roman" w:hAnsi="Lato" w:cs="Arial"/>
          <w:color w:val="2F2F2F"/>
          <w:lang w:eastAsia="es-MX"/>
        </w:rPr>
      </w:pPr>
      <w:r w:rsidRPr="003D5320">
        <w:rPr>
          <w:rFonts w:ascii="Lato" w:eastAsia="Times New Roman" w:hAnsi="Lato" w:cs="Arial"/>
          <w:color w:val="2F2F2F"/>
          <w:lang w:eastAsia="es-MX"/>
        </w:rPr>
        <w:lastRenderedPageBreak/>
        <w:t>Estas disposiciones de replicaron en el artículo 61</w:t>
      </w:r>
      <w:r>
        <w:rPr>
          <w:rFonts w:ascii="Lato" w:eastAsia="Times New Roman" w:hAnsi="Lato" w:cs="Arial"/>
          <w:color w:val="2F2F2F"/>
          <w:lang w:eastAsia="es-MX"/>
        </w:rPr>
        <w:t xml:space="preserve"> del Reglamento interno del Poder Judicial del Estado de Baja California.</w:t>
      </w:r>
    </w:p>
    <w:p w:rsidR="003D5320" w:rsidRDefault="003D5320" w:rsidP="003D5320">
      <w:pPr>
        <w:shd w:val="clear" w:color="auto" w:fill="FFFFFF"/>
        <w:spacing w:line="360" w:lineRule="auto"/>
        <w:jc w:val="both"/>
        <w:rPr>
          <w:rFonts w:ascii="Lato" w:eastAsia="Times New Roman" w:hAnsi="Lato" w:cs="Arial"/>
          <w:color w:val="2F2F2F"/>
          <w:lang w:eastAsia="es-MX"/>
        </w:rPr>
      </w:pPr>
    </w:p>
    <w:p w:rsidR="003D5320" w:rsidRDefault="003D5320" w:rsidP="003D5320">
      <w:pPr>
        <w:shd w:val="clear" w:color="auto" w:fill="FFFFFF"/>
        <w:spacing w:line="360" w:lineRule="auto"/>
        <w:jc w:val="both"/>
        <w:rPr>
          <w:rFonts w:ascii="Lato" w:eastAsia="Times New Roman" w:hAnsi="Lato" w:cs="Arial"/>
          <w:color w:val="2F2F2F"/>
          <w:lang w:eastAsia="es-MX"/>
        </w:rPr>
      </w:pPr>
      <w:r>
        <w:rPr>
          <w:rFonts w:ascii="Lato" w:eastAsia="Times New Roman" w:hAnsi="Lato" w:cs="Arial"/>
          <w:color w:val="2F2F2F"/>
          <w:lang w:eastAsia="es-MX"/>
        </w:rPr>
        <w:t xml:space="preserve">De tal normatividad se observa con meridiana claridad que </w:t>
      </w:r>
      <w:r w:rsidRPr="003D5320">
        <w:rPr>
          <w:rFonts w:ascii="Lato" w:eastAsia="Times New Roman" w:hAnsi="Lato" w:cs="Arial"/>
          <w:b/>
          <w:color w:val="2F2F2F"/>
          <w:lang w:eastAsia="es-MX"/>
        </w:rPr>
        <w:t>en el asunto que ahora se analiza se actualizan los elementos exigidos,</w:t>
      </w:r>
      <w:r>
        <w:rPr>
          <w:rFonts w:ascii="Lato" w:eastAsia="Times New Roman" w:hAnsi="Lato" w:cs="Arial"/>
          <w:color w:val="2F2F2F"/>
          <w:lang w:eastAsia="es-MX"/>
        </w:rPr>
        <w:t xml:space="preserve"> pues se reitera se trata de un asunto judicial, en el cual este sujeto obligado forma parte, pues es el demandante en un proceso de controversia constitucional ante el Poder Judicial Federal y </w:t>
      </w:r>
      <w:r w:rsidRPr="002E6F54">
        <w:rPr>
          <w:rFonts w:ascii="Lato" w:eastAsia="Times New Roman" w:hAnsi="Lato" w:cs="Arial"/>
          <w:b/>
          <w:color w:val="2F2F2F"/>
          <w:lang w:eastAsia="es-MX"/>
        </w:rPr>
        <w:t xml:space="preserve">no existe constancia que indique o pruebe que los sujetos estatales demandados, </w:t>
      </w:r>
      <w:r w:rsidR="002E6F54" w:rsidRPr="002E6F54">
        <w:rPr>
          <w:rFonts w:ascii="Lato" w:eastAsia="Times New Roman" w:hAnsi="Lato" w:cs="Arial"/>
          <w:b/>
          <w:color w:val="2F2F2F"/>
          <w:lang w:eastAsia="es-MX"/>
        </w:rPr>
        <w:t>hubieren sido notificados y debidamente emplazados</w:t>
      </w:r>
      <w:r w:rsidR="002E6F54">
        <w:rPr>
          <w:rFonts w:ascii="Lato" w:eastAsia="Times New Roman" w:hAnsi="Lato" w:cs="Arial"/>
          <w:color w:val="2F2F2F"/>
          <w:lang w:eastAsia="es-MX"/>
        </w:rPr>
        <w:t xml:space="preserve"> en respeto a la garantía de audiencia que les corresponde, según afirma el Director de la Unidad Jurídica y de Asesoría Interna de este Poder Judicial, autoridad competente y autorizada para intervenir, oír y recibir toda clase de notificaciones e imponerse de los autos del juicio federal citado.</w:t>
      </w:r>
    </w:p>
    <w:p w:rsidR="00471EC6" w:rsidRDefault="003D5320" w:rsidP="002E6F54">
      <w:pPr>
        <w:shd w:val="clear" w:color="auto" w:fill="FFFFFF"/>
        <w:spacing w:line="360" w:lineRule="auto"/>
        <w:jc w:val="both"/>
        <w:rPr>
          <w:rFonts w:ascii="Lato" w:hAnsi="Lato" w:cs="Arial"/>
        </w:rPr>
      </w:pPr>
      <w:r>
        <w:rPr>
          <w:rFonts w:ascii="Lato" w:eastAsia="Times New Roman" w:hAnsi="Lato" w:cs="Arial"/>
          <w:color w:val="2F2F2F"/>
          <w:lang w:eastAsia="es-MX"/>
        </w:rPr>
        <w:t xml:space="preserve"> </w:t>
      </w:r>
    </w:p>
    <w:p w:rsidR="008D0A8E" w:rsidRDefault="00471EC6" w:rsidP="00494940">
      <w:pPr>
        <w:spacing w:line="336" w:lineRule="auto"/>
        <w:jc w:val="both"/>
        <w:rPr>
          <w:rFonts w:ascii="Lato" w:hAnsi="Lato" w:cs="Arial"/>
        </w:rPr>
      </w:pPr>
      <w:r>
        <w:rPr>
          <w:rFonts w:ascii="Lato" w:hAnsi="Lato" w:cs="Arial"/>
        </w:rPr>
        <w:t xml:space="preserve">2.1.3.) </w:t>
      </w:r>
      <w:r w:rsidR="00DA3F0D" w:rsidRPr="00762A70">
        <w:rPr>
          <w:rFonts w:ascii="Lato" w:hAnsi="Lato" w:cs="Arial"/>
          <w:b/>
        </w:rPr>
        <w:t>De la prueba de daño</w:t>
      </w:r>
      <w:r w:rsidR="00DA3F0D" w:rsidRPr="00762A70">
        <w:rPr>
          <w:rFonts w:ascii="Lato" w:hAnsi="Lato" w:cs="Arial"/>
        </w:rPr>
        <w:t xml:space="preserve">. </w:t>
      </w:r>
      <w:r w:rsidR="00245FC5" w:rsidRPr="00462B8A">
        <w:rPr>
          <w:rFonts w:ascii="Lato" w:hAnsi="Lato" w:cs="Arial"/>
        </w:rPr>
        <w:t>At</w:t>
      </w:r>
      <w:r w:rsidR="00245FC5" w:rsidRPr="00762A70">
        <w:rPr>
          <w:rFonts w:ascii="Lato" w:hAnsi="Lato" w:cs="Arial"/>
        </w:rPr>
        <w:t xml:space="preserve">endiendo a </w:t>
      </w:r>
      <w:r w:rsidR="00DA3F0D" w:rsidRPr="00762A70">
        <w:rPr>
          <w:rFonts w:ascii="Lato" w:hAnsi="Lato" w:cs="Arial"/>
        </w:rPr>
        <w:t xml:space="preserve">los diversos numerales </w:t>
      </w:r>
      <w:r w:rsidR="00C43BD6">
        <w:rPr>
          <w:rFonts w:ascii="Lato" w:hAnsi="Lato" w:cs="Arial"/>
        </w:rPr>
        <w:t>157, 158 y 159</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w:t>
      </w:r>
      <w:r w:rsidR="00C43BD6">
        <w:rPr>
          <w:rFonts w:ascii="Lato" w:hAnsi="Lato" w:cs="Arial"/>
        </w:rPr>
        <w:t xml:space="preserve">de reservada, </w:t>
      </w:r>
      <w:r w:rsidR="00245FC5" w:rsidRPr="00762A70">
        <w:rPr>
          <w:rFonts w:ascii="Lato" w:hAnsi="Lato" w:cs="Arial"/>
        </w:rPr>
        <w:t>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B10B5B" w:rsidRDefault="00B10B5B" w:rsidP="00494940">
      <w:pPr>
        <w:spacing w:line="336" w:lineRule="auto"/>
        <w:jc w:val="both"/>
        <w:rPr>
          <w:rFonts w:ascii="Lato" w:hAnsi="Lato" w:cs="Arial"/>
        </w:rPr>
      </w:pPr>
    </w:p>
    <w:p w:rsidR="00DA3F0D" w:rsidRDefault="002E6F54" w:rsidP="00494940">
      <w:pPr>
        <w:spacing w:line="336" w:lineRule="auto"/>
        <w:jc w:val="both"/>
        <w:rPr>
          <w:rFonts w:ascii="Lato" w:hAnsi="Lato" w:cs="Arial"/>
        </w:rPr>
      </w:pPr>
      <w:r>
        <w:rPr>
          <w:rFonts w:ascii="Lato" w:hAnsi="Lato" w:cs="Arial"/>
        </w:rPr>
        <w:t>E</w:t>
      </w:r>
      <w:r w:rsidR="00245FC5" w:rsidRPr="00762A70">
        <w:rPr>
          <w:rFonts w:ascii="Lato" w:hAnsi="Lato" w:cs="Arial"/>
        </w:rPr>
        <w:t xml:space="preserv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Default="00DA3F0D" w:rsidP="006152B4">
      <w:pPr>
        <w:spacing w:line="336"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w:t>
      </w:r>
      <w:r w:rsidRPr="00191D9E">
        <w:rPr>
          <w:rFonts w:ascii="Lato" w:hAnsi="Lato" w:cs="Arial"/>
          <w:b/>
        </w:rPr>
        <w:t>de información</w:t>
      </w:r>
      <w:r w:rsidR="00B524DB" w:rsidRPr="00191D9E">
        <w:rPr>
          <w:rFonts w:ascii="Lato" w:hAnsi="Lato" w:cs="Arial"/>
          <w:b/>
        </w:rPr>
        <w:t xml:space="preserve"> reservada por disposición expresa de la</w:t>
      </w:r>
      <w:r w:rsidR="002E6F54">
        <w:rPr>
          <w:rFonts w:ascii="Lato" w:hAnsi="Lato" w:cs="Arial"/>
          <w:b/>
        </w:rPr>
        <w:t xml:space="preserve"> causal establecida</w:t>
      </w:r>
      <w:r w:rsidR="00B524DB" w:rsidRPr="00191D9E">
        <w:rPr>
          <w:rFonts w:ascii="Lato" w:hAnsi="Lato" w:cs="Arial"/>
          <w:b/>
        </w:rPr>
        <w:t xml:space="preserve"> en la fracci</w:t>
      </w:r>
      <w:r w:rsidR="002E6F54">
        <w:rPr>
          <w:rFonts w:ascii="Lato" w:hAnsi="Lato" w:cs="Arial"/>
          <w:b/>
        </w:rPr>
        <w:t>ón</w:t>
      </w:r>
      <w:r w:rsidR="00B524DB" w:rsidRPr="00191D9E">
        <w:rPr>
          <w:rFonts w:ascii="Lato" w:hAnsi="Lato" w:cs="Arial"/>
          <w:b/>
        </w:rPr>
        <w:t xml:space="preserve"> IX  del artículo </w:t>
      </w:r>
      <w:r w:rsidRPr="00191D9E">
        <w:rPr>
          <w:rFonts w:ascii="Lato" w:hAnsi="Lato" w:cs="Arial"/>
          <w:b/>
        </w:rPr>
        <w:t xml:space="preserve"> </w:t>
      </w:r>
      <w:r w:rsidR="00B524DB" w:rsidRPr="00191D9E">
        <w:rPr>
          <w:rFonts w:ascii="Lato" w:hAnsi="Lato" w:cs="Arial"/>
          <w:b/>
        </w:rPr>
        <w:t xml:space="preserve">110 de la Ley de Transparencia </w:t>
      </w:r>
      <w:r w:rsidR="00B524DB" w:rsidRPr="00191D9E">
        <w:rPr>
          <w:rFonts w:ascii="Lato" w:hAnsi="Lato" w:cs="Arial"/>
        </w:rPr>
        <w:t>y Acceso a la Información Pública</w:t>
      </w:r>
      <w:r w:rsidR="00B524DB">
        <w:rPr>
          <w:rFonts w:ascii="Lato" w:hAnsi="Lato" w:cs="Arial"/>
        </w:rPr>
        <w:t xml:space="preserve"> para el Estado de Baja California, lo que puede producir un daño mayor que el interés de conocerla, con su publicidad, por lo que </w:t>
      </w:r>
      <w:r w:rsidR="00B524DB" w:rsidRPr="00163137">
        <w:rPr>
          <w:rFonts w:ascii="Lato" w:hAnsi="Lato" w:cs="Arial"/>
          <w:b/>
        </w:rPr>
        <w:t>es de confirmar su clasificación de reservada</w:t>
      </w:r>
      <w:r w:rsidR="00B524DB">
        <w:rPr>
          <w:rFonts w:ascii="Lato" w:hAnsi="Lato" w:cs="Arial"/>
        </w:rPr>
        <w:t xml:space="preserve">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00163137">
        <w:rPr>
          <w:rFonts w:ascii="Lato" w:hAnsi="Lato" w:cs="Arial"/>
        </w:rPr>
        <w:t xml:space="preserve"> l</w:t>
      </w:r>
      <w:r w:rsidRPr="00762A70">
        <w:rPr>
          <w:rFonts w:ascii="Lato" w:hAnsi="Lato" w:cs="Arial"/>
        </w:rPr>
        <w:t xml:space="preserve">a divulgación de la información </w:t>
      </w:r>
      <w:r w:rsidRPr="00163137">
        <w:rPr>
          <w:rFonts w:ascii="Lato" w:hAnsi="Lato" w:cs="Arial"/>
          <w:b/>
        </w:rPr>
        <w:t>representa un riesgo real, demostrable e identificable</w:t>
      </w:r>
      <w:r w:rsidRPr="00762A70">
        <w:rPr>
          <w:rFonts w:ascii="Lato" w:hAnsi="Lato" w:cs="Arial"/>
        </w:rPr>
        <w:t xml:space="preserve"> de </w:t>
      </w:r>
      <w:r w:rsidRPr="00163137">
        <w:rPr>
          <w:rFonts w:ascii="Lato" w:hAnsi="Lato" w:cs="Arial"/>
          <w:b/>
        </w:rPr>
        <w:t>perjuicio significativo al interés público</w:t>
      </w:r>
      <w:r w:rsidR="00163137">
        <w:rPr>
          <w:rFonts w:ascii="Lato" w:hAnsi="Lato" w:cs="Arial"/>
          <w:b/>
        </w:rPr>
        <w:t xml:space="preserve">, </w:t>
      </w:r>
      <w:r w:rsidR="00163137" w:rsidRPr="00163137">
        <w:rPr>
          <w:rFonts w:ascii="Lato" w:hAnsi="Lato" w:cs="Arial"/>
        </w:rPr>
        <w:t>pues a</w:t>
      </w:r>
      <w:r w:rsidR="00163137">
        <w:rPr>
          <w:rFonts w:ascii="Lato" w:hAnsi="Lato" w:cs="Arial"/>
          <w:b/>
        </w:rPr>
        <w:t xml:space="preserve"> </w:t>
      </w:r>
      <w:r w:rsidRPr="00762A70">
        <w:rPr>
          <w:rFonts w:ascii="Lato" w:hAnsi="Lato" w:cs="Arial"/>
        </w:rPr>
        <w:t xml:space="preserve">este respecto cabe decir que </w:t>
      </w:r>
      <w:r w:rsidRPr="00163137">
        <w:rPr>
          <w:rFonts w:ascii="Lato" w:hAnsi="Lato" w:cs="Arial"/>
        </w:rPr>
        <w:t>liberar la información</w:t>
      </w:r>
      <w:r w:rsidR="006207A1" w:rsidRPr="00163137">
        <w:rPr>
          <w:rFonts w:ascii="Lato" w:hAnsi="Lato" w:cs="Arial"/>
        </w:rPr>
        <w:t xml:space="preserve"> cuya titularidad corresponde a </w:t>
      </w:r>
      <w:r w:rsidR="003C2DDC" w:rsidRPr="00163137">
        <w:rPr>
          <w:rFonts w:ascii="Lato" w:hAnsi="Lato" w:cs="Arial"/>
        </w:rPr>
        <w:t xml:space="preserve">los sujetos </w:t>
      </w:r>
      <w:r w:rsidR="002E6F54">
        <w:rPr>
          <w:rFonts w:ascii="Lato" w:hAnsi="Lato" w:cs="Arial"/>
        </w:rPr>
        <w:t xml:space="preserve">demandados </w:t>
      </w:r>
      <w:r w:rsidR="003C2DDC" w:rsidRPr="00163137">
        <w:rPr>
          <w:rFonts w:ascii="Lato" w:hAnsi="Lato" w:cs="Arial"/>
        </w:rPr>
        <w:t xml:space="preserve">en </w:t>
      </w:r>
      <w:r w:rsidR="002E6F54">
        <w:rPr>
          <w:rFonts w:ascii="Lato" w:hAnsi="Lato" w:cs="Arial"/>
        </w:rPr>
        <w:t xml:space="preserve">el juicio de controversia constitucional </w:t>
      </w:r>
      <w:r w:rsidR="00163137" w:rsidRPr="00163137">
        <w:rPr>
          <w:rFonts w:ascii="Lato" w:hAnsi="Lato" w:cs="Arial"/>
        </w:rPr>
        <w:t>referido</w:t>
      </w:r>
      <w:r w:rsidR="003C2DDC">
        <w:rPr>
          <w:rFonts w:ascii="Lato" w:hAnsi="Lato" w:cs="Arial"/>
          <w:b/>
        </w:rPr>
        <w:t xml:space="preserve">, </w:t>
      </w:r>
      <w:r w:rsidRPr="00762A70">
        <w:rPr>
          <w:rFonts w:ascii="Lato" w:hAnsi="Lato" w:cs="Arial"/>
          <w:b/>
        </w:rPr>
        <w:t xml:space="preserve">representa un riesgo real </w:t>
      </w:r>
      <w:r w:rsidR="00163137">
        <w:rPr>
          <w:rFonts w:ascii="Lato" w:hAnsi="Lato" w:cs="Arial"/>
          <w:b/>
        </w:rPr>
        <w:t>de afectación al debido proceso, pues se divulgaría información que no se ha notificado a los sujetos legitimados en dicho</w:t>
      </w:r>
      <w:r w:rsidR="002E6F54">
        <w:rPr>
          <w:rFonts w:ascii="Lato" w:hAnsi="Lato" w:cs="Arial"/>
          <w:b/>
        </w:rPr>
        <w:t xml:space="preserve"> procedimiento, </w:t>
      </w:r>
      <w:r w:rsidR="00EF7F51">
        <w:rPr>
          <w:rFonts w:ascii="Lato" w:hAnsi="Lato" w:cs="Arial"/>
          <w:b/>
        </w:rPr>
        <w:t xml:space="preserve">lo que acarrea un riesgo o perjuicio que supera el interés público de que se difunda, </w:t>
      </w:r>
      <w:r w:rsidRPr="00762A70">
        <w:rPr>
          <w:rFonts w:ascii="Lato" w:hAnsi="Lato" w:cs="Arial"/>
        </w:rPr>
        <w:t xml:space="preserve">por lo que la clasificación de </w:t>
      </w:r>
      <w:r w:rsidR="00EF7F51">
        <w:rPr>
          <w:rFonts w:ascii="Lato" w:hAnsi="Lato" w:cs="Arial"/>
        </w:rPr>
        <w:t xml:space="preserve">reservada debe persistir. Esta </w:t>
      </w:r>
      <w:r w:rsidRPr="00762A70">
        <w:rPr>
          <w:rFonts w:ascii="Lato" w:hAnsi="Lato" w:cs="Arial"/>
        </w:rPr>
        <w:t>limitación se adec</w:t>
      </w:r>
      <w:r w:rsidR="001564B0">
        <w:rPr>
          <w:rFonts w:ascii="Lato" w:hAnsi="Lato" w:cs="Arial"/>
        </w:rPr>
        <w:t>ú</w:t>
      </w:r>
      <w:r w:rsidRPr="00762A70">
        <w:rPr>
          <w:rFonts w:ascii="Lato" w:hAnsi="Lato" w:cs="Arial"/>
        </w:rPr>
        <w:t>a al principio de proporcionalidad</w:t>
      </w:r>
      <w:r w:rsidR="00EF7F51">
        <w:rPr>
          <w:rFonts w:ascii="Lato" w:hAnsi="Lato" w:cs="Arial"/>
        </w:rPr>
        <w:t xml:space="preserve"> exigido por la fracción III del precepto normativo indicado,</w:t>
      </w:r>
      <w:r w:rsidRPr="00762A70">
        <w:rPr>
          <w:rFonts w:ascii="Lato" w:hAnsi="Lato" w:cs="Arial"/>
        </w:rPr>
        <w:t xml:space="preserve"> </w:t>
      </w:r>
      <w:r w:rsidR="00EF7F51">
        <w:rPr>
          <w:rFonts w:ascii="Lato" w:hAnsi="Lato" w:cs="Arial"/>
        </w:rPr>
        <w:t xml:space="preserve">pues </w:t>
      </w:r>
      <w:r w:rsidRPr="00762A70">
        <w:rPr>
          <w:rFonts w:ascii="Lato" w:hAnsi="Lato" w:cs="Arial"/>
        </w:rPr>
        <w:t>representa el medio menos restrictivo disponible para evitar el perjuicio</w:t>
      </w:r>
      <w:r w:rsidR="00EF7F51">
        <w:rPr>
          <w:rFonts w:ascii="Lato" w:hAnsi="Lato" w:cs="Arial"/>
        </w:rPr>
        <w:t xml:space="preserve"> manifestado</w:t>
      </w:r>
      <w:r w:rsidRPr="00762A70">
        <w:rPr>
          <w:rFonts w:ascii="Lato" w:hAnsi="Lato" w:cs="Arial"/>
        </w:rPr>
        <w:t xml:space="preserve">.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w:t>
      </w:r>
      <w:r w:rsidR="00EF7F51">
        <w:rPr>
          <w:rFonts w:ascii="Lato" w:hAnsi="Lato" w:cs="Arial"/>
          <w:b/>
        </w:rPr>
        <w:t>los derechos procesales y de</w:t>
      </w:r>
      <w:r w:rsidR="002E6F54">
        <w:rPr>
          <w:rFonts w:ascii="Lato" w:hAnsi="Lato" w:cs="Arial"/>
          <w:b/>
        </w:rPr>
        <w:t xml:space="preserve">l debido proceso en los asuntos </w:t>
      </w:r>
      <w:r w:rsidR="00EF7F51">
        <w:rPr>
          <w:rFonts w:ascii="Lato" w:hAnsi="Lato" w:cs="Arial"/>
          <w:b/>
        </w:rPr>
        <w:t>judiciales</w:t>
      </w:r>
      <w:r w:rsidRPr="00762A70">
        <w:rPr>
          <w:rFonts w:ascii="Lato" w:hAnsi="Lato" w:cs="Arial"/>
        </w:rPr>
        <w:t xml:space="preserve">. </w:t>
      </w:r>
    </w:p>
    <w:p w:rsidR="00B10B5B" w:rsidRDefault="00B10B5B" w:rsidP="006152B4">
      <w:pPr>
        <w:spacing w:line="336" w:lineRule="auto"/>
        <w:jc w:val="both"/>
        <w:rPr>
          <w:rFonts w:ascii="Lato" w:hAnsi="Lato" w:cs="Arial"/>
        </w:rPr>
      </w:pPr>
    </w:p>
    <w:p w:rsidR="00EA5F08" w:rsidRDefault="00EA5F08" w:rsidP="00331E60">
      <w:pPr>
        <w:spacing w:line="360" w:lineRule="auto"/>
        <w:jc w:val="both"/>
        <w:rPr>
          <w:rFonts w:ascii="Lato" w:hAnsi="Lato" w:cs="Arial"/>
        </w:rPr>
      </w:pPr>
      <w:r>
        <w:rPr>
          <w:rFonts w:ascii="Lato" w:hAnsi="Lato" w:cs="Arial"/>
        </w:rPr>
        <w:t>En efecto, en este caso se ven confrontados por una parte el derecho humano de acceso a la información pública que atiende al interés del peticionario de conocer la información contenida en el escrito de demanda requerida y por otro lado, el interés público que tutela las garantías del debido proceso y de igualdad de las partes en el procedimiento, que</w:t>
      </w:r>
      <w:r w:rsidR="000933F3">
        <w:rPr>
          <w:rFonts w:ascii="Lato" w:hAnsi="Lato" w:cs="Arial"/>
        </w:rPr>
        <w:t xml:space="preserve"> </w:t>
      </w:r>
      <w:r w:rsidR="000933F3" w:rsidRPr="000933F3">
        <w:rPr>
          <w:rFonts w:ascii="Lato" w:hAnsi="Lato" w:cs="Arial"/>
          <w:b/>
        </w:rPr>
        <w:t xml:space="preserve">temporalmente limita el derecho de acceso a la información </w:t>
      </w:r>
      <w:r w:rsidR="00EE7930">
        <w:rPr>
          <w:rFonts w:ascii="Lato" w:hAnsi="Lato" w:cs="Arial"/>
          <w:b/>
        </w:rPr>
        <w:t xml:space="preserve">solicitada, lo que se </w:t>
      </w:r>
      <w:r w:rsidR="000933F3" w:rsidRPr="000933F3">
        <w:rPr>
          <w:rFonts w:ascii="Lato" w:hAnsi="Lato" w:cs="Arial"/>
          <w:b/>
        </w:rPr>
        <w:t>justific</w:t>
      </w:r>
      <w:r w:rsidR="00EE7930">
        <w:rPr>
          <w:rFonts w:ascii="Lato" w:hAnsi="Lato" w:cs="Arial"/>
          <w:b/>
        </w:rPr>
        <w:t xml:space="preserve">a </w:t>
      </w:r>
      <w:r w:rsidR="000933F3" w:rsidRPr="000933F3">
        <w:rPr>
          <w:rFonts w:ascii="Lato" w:hAnsi="Lato" w:cs="Arial"/>
          <w:b/>
        </w:rPr>
        <w:t>en la hipótesis establecida en la fracción IX del Artículo 110 de la Ley Local de la materia</w:t>
      </w:r>
      <w:r w:rsidR="000933F3">
        <w:rPr>
          <w:rFonts w:ascii="Lato" w:hAnsi="Lato" w:cs="Arial"/>
        </w:rPr>
        <w:t xml:space="preserve">, pues como ya quedó expresado, se actualizan los elementos exigidos en el artículo Vigésimo </w:t>
      </w:r>
      <w:r w:rsidR="00B10B5B">
        <w:rPr>
          <w:rFonts w:ascii="Lato" w:hAnsi="Lato" w:cs="Arial"/>
        </w:rPr>
        <w:t xml:space="preserve">Noveno </w:t>
      </w:r>
      <w:r w:rsidR="000933F3">
        <w:rPr>
          <w:rFonts w:ascii="Lato" w:hAnsi="Lato" w:cs="Arial"/>
        </w:rPr>
        <w:t xml:space="preserve">de los multicitados Lineamientos Generales </w:t>
      </w:r>
      <w:r w:rsidR="000933F3" w:rsidRPr="00762A70">
        <w:rPr>
          <w:rFonts w:ascii="Lato" w:hAnsi="Lato" w:cs="Arial"/>
        </w:rPr>
        <w:t>en materia de Clasificación y Desclasificación de la Información</w:t>
      </w:r>
      <w:r w:rsidR="000933F3">
        <w:rPr>
          <w:rFonts w:ascii="Lato" w:hAnsi="Lato" w:cs="Arial"/>
        </w:rPr>
        <w:t xml:space="preserve">, </w:t>
      </w:r>
      <w:r w:rsidR="00EE7930" w:rsidRPr="00EE7930">
        <w:rPr>
          <w:rFonts w:ascii="Lato" w:hAnsi="Lato" w:cs="Arial"/>
          <w:b/>
        </w:rPr>
        <w:t xml:space="preserve">resultando incuestionable que su </w:t>
      </w:r>
      <w:r w:rsidR="00EE7930" w:rsidRPr="00EE7930">
        <w:rPr>
          <w:rFonts w:ascii="Lato" w:hAnsi="Lato" w:cs="Arial"/>
          <w:b/>
        </w:rPr>
        <w:lastRenderedPageBreak/>
        <w:t>divulgación conlleva la evidente alteración de diversos derechos y garantías procesales, lo que pudiera trascender negativamente en su equilibrio desde cualquier punto de vista, incluso en el prejuzgamiento permanente de las razones y circunstancias a discutir o controvertir por las partes en el proceso</w:t>
      </w:r>
      <w:r w:rsidR="00EE7930">
        <w:rPr>
          <w:rFonts w:ascii="Lato" w:hAnsi="Lato" w:cs="Arial"/>
        </w:rPr>
        <w:t xml:space="preserve"> y </w:t>
      </w:r>
      <w:r>
        <w:rPr>
          <w:rFonts w:ascii="Lato" w:hAnsi="Lato" w:cs="Arial"/>
        </w:rPr>
        <w:t xml:space="preserve">como bien afirma el titular de la Unidad Jurídica del Poder Judicial, </w:t>
      </w:r>
      <w:r w:rsidR="00B10B5B">
        <w:rPr>
          <w:rFonts w:ascii="Lato" w:eastAsia="Calibri" w:hAnsi="Lato"/>
        </w:rPr>
        <w:t>t</w:t>
      </w:r>
      <w:r w:rsidR="00BA1C83" w:rsidRPr="00BA1C83">
        <w:rPr>
          <w:rFonts w:ascii="Lato" w:eastAsia="Calibri" w:hAnsi="Lato"/>
        </w:rPr>
        <w:t xml:space="preserve">omando en consideración que una de las formalidades o garantías del debido proceso –en lo que aquí interesa– es la notificación del inicio del procedimiento y sus consecuencias; tal y como lo estableció el Pleno de la Suprema Corte de Justicia de la Nación a través de la jurisprudencia P./J. 47/95, </w:t>
      </w:r>
      <w:r w:rsidR="00BA1C83">
        <w:rPr>
          <w:rFonts w:ascii="Lato" w:eastAsia="Calibri" w:hAnsi="Lato"/>
        </w:rPr>
        <w:t>cuyo contenido ya fue reproducido en apartado anterior, pero por su importancia se puntualiza de nuevo que las formalidades esenciales del procedimiento</w:t>
      </w:r>
      <w:r w:rsidR="00E56807">
        <w:rPr>
          <w:rFonts w:ascii="Lato" w:eastAsia="Calibri" w:hAnsi="Lato"/>
        </w:rPr>
        <w:t xml:space="preserve"> “</w:t>
      </w:r>
      <w:r w:rsidR="00BA1C83">
        <w:rPr>
          <w:rFonts w:ascii="Lato" w:eastAsia="Calibri" w:hAnsi="Lato"/>
        </w:rPr>
        <w:t xml:space="preserve">(…) </w:t>
      </w:r>
      <w:r w:rsidR="00BA1C83" w:rsidRPr="000B59C9">
        <w:rPr>
          <w:rFonts w:ascii="Lato" w:eastAsia="Calibri" w:hAnsi="Lato"/>
          <w:i/>
        </w:rPr>
        <w:t>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r w:rsidR="005C5B59">
        <w:rPr>
          <w:rFonts w:ascii="Lato" w:eastAsia="Calibri" w:hAnsi="Lato"/>
          <w:i/>
        </w:rPr>
        <w:t>.</w:t>
      </w:r>
      <w:r w:rsidR="00BA1C83" w:rsidRPr="000B59C9">
        <w:rPr>
          <w:rFonts w:ascii="Lato" w:eastAsia="Calibri" w:hAnsi="Lato"/>
          <w:i/>
        </w:rPr>
        <w:t xml:space="preserve"> </w:t>
      </w:r>
      <w:r w:rsidR="00BA1C83" w:rsidRPr="00BA1C83">
        <w:rPr>
          <w:rFonts w:ascii="Lato" w:eastAsia="Calibri" w:hAnsi="Lato"/>
        </w:rPr>
        <w:t xml:space="preserve">Lo que es indudablemente aplicable a este asunto pues </w:t>
      </w:r>
      <w:r w:rsidR="00BA1C83" w:rsidRPr="00BA1C83">
        <w:rPr>
          <w:rFonts w:ascii="Lato" w:eastAsia="Calibri" w:hAnsi="Lato"/>
          <w:b/>
        </w:rPr>
        <w:t>a la fecha aún no se conoce ni se tiene certeza de haberse practicado o no el emplazamiento</w:t>
      </w:r>
      <w:r w:rsidR="00BA1C83" w:rsidRPr="00BA1C83">
        <w:rPr>
          <w:rFonts w:ascii="Lato" w:eastAsia="Calibri" w:hAnsi="Lato"/>
        </w:rPr>
        <w:t xml:space="preserve"> </w:t>
      </w:r>
      <w:r w:rsidR="00BA1C83">
        <w:rPr>
          <w:rFonts w:ascii="Lato" w:eastAsia="Calibri" w:hAnsi="Lato"/>
        </w:rPr>
        <w:t xml:space="preserve">de los demandados en el juicio federal aludido. </w:t>
      </w:r>
      <w:r w:rsidR="00BA1C83" w:rsidRPr="00BA1C83">
        <w:rPr>
          <w:rFonts w:ascii="Lato" w:eastAsia="Calibri" w:hAnsi="Lato"/>
          <w:b/>
        </w:rPr>
        <w:t>Lo que está en íntima relación con el derecho de contradicción</w:t>
      </w:r>
      <w:r w:rsidR="00BA1C83">
        <w:rPr>
          <w:rFonts w:ascii="Lato" w:eastAsia="Calibri" w:hAnsi="Lato"/>
          <w:b/>
        </w:rPr>
        <w:t>,</w:t>
      </w:r>
      <w:r w:rsidR="00BA1C83" w:rsidRPr="00BA1C83">
        <w:rPr>
          <w:rFonts w:ascii="Lato" w:eastAsia="Calibri" w:hAnsi="Lato"/>
        </w:rPr>
        <w:t xml:space="preserve"> núcleo fundamental del derecho de audiencia </w:t>
      </w:r>
      <w:r w:rsidR="00331E60">
        <w:rPr>
          <w:rFonts w:ascii="Lato" w:eastAsia="Calibri" w:hAnsi="Lato"/>
        </w:rPr>
        <w:t>consistente</w:t>
      </w:r>
      <w:r w:rsidR="00BA1C83" w:rsidRPr="00BA1C83">
        <w:rPr>
          <w:rFonts w:ascii="Lato" w:eastAsia="Calibri" w:hAnsi="Lato"/>
        </w:rPr>
        <w:t xml:space="preserve">, en que toda petición o pretensión formulada por una de las partes en el proceso, se comunique a la contraria para que ésta pueda prestar a ella su consentimiento o formular su oposición. </w:t>
      </w:r>
      <w:r>
        <w:rPr>
          <w:rFonts w:ascii="Lato" w:hAnsi="Lato" w:cs="Arial"/>
        </w:rPr>
        <w:t xml:space="preserve"> </w:t>
      </w:r>
    </w:p>
    <w:p w:rsidR="00747EA9" w:rsidRDefault="00747EA9" w:rsidP="00563A82">
      <w:pPr>
        <w:spacing w:line="360" w:lineRule="auto"/>
        <w:jc w:val="both"/>
        <w:rPr>
          <w:rFonts w:ascii="Lato" w:hAnsi="Lato" w:cs="Arial"/>
        </w:rPr>
      </w:pPr>
    </w:p>
    <w:p w:rsidR="00567A08" w:rsidRDefault="006A3246" w:rsidP="00CD3BB0">
      <w:pPr>
        <w:spacing w:line="360" w:lineRule="auto"/>
        <w:jc w:val="both"/>
        <w:rPr>
          <w:rFonts w:ascii="Lato" w:hAnsi="Lato" w:cs="Arial"/>
        </w:rPr>
      </w:pPr>
      <w:r w:rsidRPr="00191D9E">
        <w:rPr>
          <w:rFonts w:ascii="Lato" w:hAnsi="Lato" w:cs="Arial"/>
        </w:rPr>
        <w:t>3</w:t>
      </w:r>
      <w:r w:rsidR="00DA3F0D" w:rsidRPr="00191D9E">
        <w:rPr>
          <w:rFonts w:ascii="Lato" w:hAnsi="Lato" w:cs="Arial"/>
        </w:rPr>
        <w:t xml:space="preserve">) </w:t>
      </w:r>
      <w:r w:rsidR="00DA3F0D" w:rsidRPr="00191D9E">
        <w:rPr>
          <w:rFonts w:ascii="Lato" w:hAnsi="Lato" w:cs="Arial"/>
          <w:b/>
        </w:rPr>
        <w:t xml:space="preserve">De la aprobación del acto de </w:t>
      </w:r>
      <w:r w:rsidR="008A3B1D" w:rsidRPr="00191D9E">
        <w:rPr>
          <w:rFonts w:ascii="Lato" w:hAnsi="Lato" w:cs="Arial"/>
          <w:b/>
        </w:rPr>
        <w:t xml:space="preserve">clasificación </w:t>
      </w:r>
      <w:r w:rsidR="00191D9E" w:rsidRPr="00191D9E">
        <w:rPr>
          <w:rFonts w:ascii="Lato" w:hAnsi="Lato" w:cs="Arial"/>
          <w:b/>
        </w:rPr>
        <w:t>de la información como reservada</w:t>
      </w:r>
      <w:r w:rsidR="005D2431" w:rsidRPr="00191D9E">
        <w:rPr>
          <w:rFonts w:ascii="Lato" w:hAnsi="Lato" w:cs="Arial"/>
          <w:b/>
        </w:rPr>
        <w:t>.</w:t>
      </w:r>
      <w:r w:rsidR="00DA3F0D" w:rsidRPr="00191D9E">
        <w:rPr>
          <w:rFonts w:ascii="Lato" w:hAnsi="Lato" w:cs="Arial"/>
        </w:rPr>
        <w:t xml:space="preserve"> </w:t>
      </w:r>
      <w:r w:rsidR="00B079D1" w:rsidRPr="00191D9E">
        <w:rPr>
          <w:rFonts w:ascii="Lato" w:hAnsi="Lato" w:cs="Arial"/>
        </w:rPr>
        <w:t>En</w:t>
      </w:r>
      <w:r w:rsidR="00B079D1">
        <w:rPr>
          <w:rFonts w:ascii="Lato" w:hAnsi="Lato" w:cs="Arial"/>
        </w:rPr>
        <w:t xml:space="preserve">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por unanimidad</w:t>
      </w:r>
      <w:r w:rsidR="00E56807">
        <w:rPr>
          <w:rFonts w:ascii="Lato" w:hAnsi="Lato" w:cs="Arial"/>
        </w:rPr>
        <w:t xml:space="preserve">,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w:t>
      </w:r>
      <w:r w:rsidR="001B7079">
        <w:rPr>
          <w:rFonts w:ascii="Lato" w:hAnsi="Lato" w:cs="Arial"/>
          <w:b/>
        </w:rPr>
        <w:t xml:space="preserve">reserva de </w:t>
      </w:r>
      <w:r w:rsidR="00CD3BB0" w:rsidRPr="00A07213">
        <w:rPr>
          <w:rFonts w:ascii="Lato" w:hAnsi="Lato" w:cs="Arial"/>
          <w:b/>
        </w:rPr>
        <w:t xml:space="preserve">la información </w:t>
      </w:r>
      <w:r w:rsidR="00EF7F51">
        <w:rPr>
          <w:rFonts w:ascii="Lato" w:hAnsi="Lato" w:cs="Arial"/>
          <w:b/>
        </w:rPr>
        <w:t xml:space="preserve">realizada por </w:t>
      </w:r>
      <w:r w:rsidR="00331E60">
        <w:rPr>
          <w:rFonts w:ascii="Lato" w:hAnsi="Lato" w:cs="Arial"/>
          <w:b/>
        </w:rPr>
        <w:t xml:space="preserve">el Titular de la Unidad Jurídica y de Asesoría Interna del Poder Judicial de la entidad, </w:t>
      </w:r>
      <w:r w:rsidR="000A38D8">
        <w:rPr>
          <w:rFonts w:ascii="Lato" w:hAnsi="Lato" w:cs="Arial"/>
        </w:rPr>
        <w:t xml:space="preserve">respecto a </w:t>
      </w:r>
      <w:r w:rsidR="00B009FE">
        <w:rPr>
          <w:rFonts w:ascii="Lato" w:hAnsi="Lato" w:cs="Arial"/>
        </w:rPr>
        <w:t>la</w:t>
      </w:r>
      <w:r w:rsidR="00331E60">
        <w:rPr>
          <w:rFonts w:ascii="Lato" w:hAnsi="Lato" w:cs="Arial"/>
        </w:rPr>
        <w:t xml:space="preserve"> copia íntegra de la demanda de controversia constitucional </w:t>
      </w:r>
      <w:r w:rsidR="00EF7F51" w:rsidRPr="00191D9E">
        <w:rPr>
          <w:rFonts w:ascii="Lato" w:hAnsi="Lato" w:cs="Arial"/>
        </w:rPr>
        <w:t>de interés del peticionario</w:t>
      </w:r>
      <w:r w:rsidR="005C5B59">
        <w:rPr>
          <w:rFonts w:ascii="Lato" w:hAnsi="Lato" w:cs="Arial"/>
        </w:rPr>
        <w:t>,</w:t>
      </w:r>
      <w:r w:rsidR="00EF7F51" w:rsidRPr="00191D9E">
        <w:rPr>
          <w:rFonts w:ascii="Lato" w:hAnsi="Lato" w:cs="Arial"/>
        </w:rPr>
        <w:t xml:space="preserve"> solicitada</w:t>
      </w:r>
      <w:r w:rsidR="00B009FE" w:rsidRPr="00191D9E">
        <w:rPr>
          <w:rFonts w:ascii="Lato" w:hAnsi="Lato" w:cs="Arial"/>
        </w:rPr>
        <w:t xml:space="preserve"> </w:t>
      </w:r>
      <w:r w:rsidR="000A38D8" w:rsidRPr="00191D9E">
        <w:rPr>
          <w:rFonts w:ascii="Lato" w:hAnsi="Lato" w:cs="Arial"/>
        </w:rPr>
        <w:t>c</w:t>
      </w:r>
      <w:r w:rsidR="00A07213" w:rsidRPr="00191D9E">
        <w:rPr>
          <w:rFonts w:ascii="Lato" w:hAnsi="Lato" w:cs="Arial"/>
        </w:rPr>
        <w:t xml:space="preserve">on motivo </w:t>
      </w:r>
      <w:r w:rsidR="00CD3BB0" w:rsidRPr="00191D9E">
        <w:rPr>
          <w:rFonts w:ascii="Lato" w:hAnsi="Lato" w:cs="Arial"/>
        </w:rPr>
        <w:t xml:space="preserve">de la solicitud de información, registrada </w:t>
      </w:r>
      <w:r w:rsidR="00CD3BB0" w:rsidRPr="00191D9E">
        <w:rPr>
          <w:rFonts w:ascii="Lato" w:hAnsi="Lato" w:cs="Arial"/>
        </w:rPr>
        <w:lastRenderedPageBreak/>
        <w:t xml:space="preserve">en la Plataforma Nacional de Transparencia </w:t>
      </w:r>
      <w:r w:rsidR="005C5B59">
        <w:rPr>
          <w:rFonts w:ascii="Lato" w:hAnsi="Lato" w:cs="Arial"/>
        </w:rPr>
        <w:t xml:space="preserve">con el número de folio 01226820, en fecha </w:t>
      </w:r>
      <w:r w:rsidR="00331E60">
        <w:rPr>
          <w:rFonts w:ascii="Lato" w:hAnsi="Lato" w:cs="Arial"/>
        </w:rPr>
        <w:t>catorce de diciembre de dos mil veinte,</w:t>
      </w:r>
      <w:r w:rsidR="00CD3BB0">
        <w:rPr>
          <w:rFonts w:ascii="Lato" w:hAnsi="Lato" w:cs="Arial"/>
        </w:rPr>
        <w:t xml:space="preserve"> </w:t>
      </w:r>
      <w:r w:rsidR="00567A08" w:rsidRPr="00A07213">
        <w:rPr>
          <w:rFonts w:ascii="Lato" w:hAnsi="Lato" w:cs="Arial"/>
          <w:b/>
        </w:rPr>
        <w:t>por las razones y fundamentos indicados con antelació</w:t>
      </w:r>
      <w:r w:rsidR="00567A08">
        <w:rPr>
          <w:rFonts w:ascii="Lato" w:hAnsi="Lato" w:cs="Arial"/>
        </w:rPr>
        <w:t>n.</w:t>
      </w:r>
      <w:r w:rsidR="001B7079">
        <w:rPr>
          <w:rFonts w:ascii="Lato" w:hAnsi="Lato" w:cs="Arial"/>
        </w:rPr>
        <w:t xml:space="preserve"> En tal virtud, en atención al artículo 160  y 161 del Reglamento de la Ley de Transparencia de la entidad, </w:t>
      </w:r>
      <w:r w:rsidR="001B7079" w:rsidRPr="0037333D">
        <w:rPr>
          <w:rFonts w:ascii="Lato" w:hAnsi="Lato" w:cs="Arial"/>
          <w:b/>
        </w:rPr>
        <w:t>la información deberá permanecer con ese carácter</w:t>
      </w:r>
      <w:r w:rsidR="001B7079">
        <w:rPr>
          <w:rFonts w:ascii="Lato" w:hAnsi="Lato" w:cs="Arial"/>
        </w:rPr>
        <w:t xml:space="preserve"> siempre y cuando subsistan las causas que han dado origen a esta clasificación; es decir, </w:t>
      </w:r>
      <w:r w:rsidR="001B7079" w:rsidRPr="0037333D">
        <w:rPr>
          <w:rFonts w:ascii="Lato" w:hAnsi="Lato" w:cs="Arial"/>
          <w:b/>
        </w:rPr>
        <w:t>hasta en tanto cambie el estado procesal de</w:t>
      </w:r>
      <w:r w:rsidR="00331E60" w:rsidRPr="0037333D">
        <w:rPr>
          <w:rFonts w:ascii="Lato" w:hAnsi="Lato" w:cs="Arial"/>
          <w:b/>
        </w:rPr>
        <w:t xml:space="preserve"> expediente</w:t>
      </w:r>
      <w:r w:rsidR="00331E60">
        <w:rPr>
          <w:rFonts w:ascii="Lato" w:hAnsi="Lato" w:cs="Arial"/>
        </w:rPr>
        <w:t xml:space="preserve"> 187/2020</w:t>
      </w:r>
      <w:r w:rsidR="001B7079">
        <w:rPr>
          <w:rFonts w:ascii="Lato" w:hAnsi="Lato" w:cs="Arial"/>
        </w:rPr>
        <w:t xml:space="preserve">, </w:t>
      </w:r>
      <w:r w:rsidR="00331E60">
        <w:rPr>
          <w:rFonts w:ascii="Lato" w:hAnsi="Lato" w:cs="Arial"/>
        </w:rPr>
        <w:t xml:space="preserve">radicado ante la Suprema Corte de Justicia de la Nación </w:t>
      </w:r>
      <w:r w:rsidR="001B7079">
        <w:rPr>
          <w:rFonts w:ascii="Lato" w:hAnsi="Lato" w:cs="Arial"/>
        </w:rPr>
        <w:t xml:space="preserve">ya sea que se realicen y lleguen a término </w:t>
      </w:r>
      <w:r w:rsidR="00331E60">
        <w:rPr>
          <w:rFonts w:ascii="Lato" w:hAnsi="Lato" w:cs="Arial"/>
        </w:rPr>
        <w:t>los</w:t>
      </w:r>
      <w:r w:rsidR="001B7079">
        <w:rPr>
          <w:rFonts w:ascii="Lato" w:hAnsi="Lato" w:cs="Arial"/>
        </w:rPr>
        <w:t xml:space="preserve"> trámites legales </w:t>
      </w:r>
      <w:r w:rsidR="00331E60">
        <w:rPr>
          <w:rFonts w:ascii="Lato" w:hAnsi="Lato" w:cs="Arial"/>
        </w:rPr>
        <w:t xml:space="preserve">que limitan y restringen el derecho de acceso a la información </w:t>
      </w:r>
      <w:r w:rsidR="001B7079">
        <w:rPr>
          <w:rFonts w:ascii="Lato" w:hAnsi="Lato" w:cs="Arial"/>
        </w:rPr>
        <w:t>o se emita acuerdo de archivo definitivo</w:t>
      </w:r>
      <w:r w:rsidR="00DD28F4">
        <w:rPr>
          <w:rFonts w:ascii="Lato" w:hAnsi="Lato" w:cs="Arial"/>
        </w:rPr>
        <w:t>, siendo responsabilidad de</w:t>
      </w:r>
      <w:r w:rsidR="00331E60">
        <w:rPr>
          <w:rFonts w:ascii="Lato" w:hAnsi="Lato" w:cs="Arial"/>
        </w:rPr>
        <w:t xml:space="preserve">l </w:t>
      </w:r>
      <w:r w:rsidR="00DD28F4">
        <w:rPr>
          <w:rFonts w:ascii="Lato" w:hAnsi="Lato" w:cs="Arial"/>
        </w:rPr>
        <w:t xml:space="preserve">titular </w:t>
      </w:r>
      <w:r w:rsidR="00331E60">
        <w:rPr>
          <w:rFonts w:ascii="Lato" w:hAnsi="Lato" w:cs="Arial"/>
        </w:rPr>
        <w:t>de la Unidad Jurídica y de Asesoría Interna del Poder Judicial del Estado de Baja California, autoridad administrativa competente</w:t>
      </w:r>
      <w:r w:rsidR="00020694">
        <w:rPr>
          <w:rFonts w:ascii="Lato" w:hAnsi="Lato" w:cs="Arial"/>
        </w:rPr>
        <w:t xml:space="preserve"> para la clasificación y desclasificación de documentos así como de la elaboración del índice de expedientes clasificados que corresponden a su área y por tanto, </w:t>
      </w:r>
      <w:r w:rsidR="00DD28F4">
        <w:rPr>
          <w:rFonts w:ascii="Lato" w:hAnsi="Lato" w:cs="Arial"/>
        </w:rPr>
        <w:t>dar cumplimiento a lo establecido por los artículos 163, 164, 165, 169 y 170 del ordenamiento reglamentario mencionado anteriormente.</w:t>
      </w:r>
      <w:r w:rsidR="001B7079">
        <w:rPr>
          <w:rFonts w:ascii="Lato" w:hAnsi="Lato" w:cs="Arial"/>
        </w:rPr>
        <w:t xml:space="preserve">   </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FE2634"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w:t>
      </w:r>
      <w:r w:rsidRPr="005C5B59">
        <w:rPr>
          <w:rFonts w:ascii="Lato" w:hAnsi="Lato" w:cs="Arial"/>
        </w:rPr>
        <w:t>de esta acta a</w:t>
      </w:r>
      <w:r w:rsidR="00671613" w:rsidRPr="005C5B59">
        <w:rPr>
          <w:rFonts w:ascii="Lato" w:hAnsi="Lato" w:cs="Arial"/>
        </w:rPr>
        <w:t>l</w:t>
      </w:r>
      <w:r w:rsidRPr="005C5B59">
        <w:rPr>
          <w:rFonts w:ascii="Lato" w:hAnsi="Lato" w:cs="Arial"/>
        </w:rPr>
        <w:t xml:space="preserve"> solicitante, por conducto de la Unidad de Transparencia, </w:t>
      </w:r>
      <w:r w:rsidR="00567A08" w:rsidRPr="005C5B59">
        <w:rPr>
          <w:rFonts w:ascii="Lato" w:hAnsi="Lato" w:cs="Arial"/>
        </w:rPr>
        <w:t>anexando</w:t>
      </w:r>
      <w:r w:rsidRPr="005C5B59">
        <w:rPr>
          <w:rFonts w:ascii="Lato" w:hAnsi="Lato" w:cs="Arial"/>
        </w:rPr>
        <w:t xml:space="preserve"> la copia de la respuesta</w:t>
      </w:r>
      <w:r w:rsidR="001B7079" w:rsidRPr="005C5B59">
        <w:rPr>
          <w:rFonts w:ascii="Lato" w:hAnsi="Lato" w:cs="Arial"/>
        </w:rPr>
        <w:t xml:space="preserve"> dada por </w:t>
      </w:r>
      <w:r w:rsidR="005C5B59" w:rsidRPr="005C5B59">
        <w:rPr>
          <w:rFonts w:ascii="Lato" w:hAnsi="Lato" w:cs="Arial"/>
        </w:rPr>
        <w:t>el Director de la Unidad Jurídica y de Asesoría Interna del Poder Judicial del Estado. I</w:t>
      </w:r>
      <w:r w:rsidRPr="005C5B59">
        <w:rPr>
          <w:rFonts w:ascii="Lato" w:hAnsi="Lato" w:cs="Arial"/>
        </w:rPr>
        <w:t xml:space="preserve">gualmente, </w:t>
      </w:r>
      <w:r w:rsidRPr="005C5B59">
        <w:rPr>
          <w:rFonts w:ascii="Lato" w:hAnsi="Lato" w:cs="Arial"/>
          <w:b/>
        </w:rPr>
        <w:t>deberá</w:t>
      </w:r>
      <w:r w:rsidRPr="00C91FC3">
        <w:rPr>
          <w:rFonts w:ascii="Lato" w:hAnsi="Lato" w:cs="Arial"/>
          <w:b/>
        </w:rPr>
        <w:t xml:space="preserve"> notificarse</w:t>
      </w:r>
      <w:r w:rsidRPr="00762A70">
        <w:rPr>
          <w:rFonts w:ascii="Lato" w:hAnsi="Lato" w:cs="Arial"/>
        </w:rPr>
        <w:t xml:space="preserv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C91FC3">
        <w:rPr>
          <w:rFonts w:ascii="Lato" w:hAnsi="Lato" w:cs="Arial"/>
          <w:b/>
        </w:rPr>
        <w:t xml:space="preserve"> </w:t>
      </w:r>
      <w:r w:rsidR="001B7079">
        <w:rPr>
          <w:rFonts w:ascii="Lato" w:hAnsi="Lato" w:cs="Arial"/>
          <w:b/>
        </w:rPr>
        <w:t>dicha autoridad</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como </w:t>
      </w:r>
      <w:r w:rsidR="001B7079">
        <w:rPr>
          <w:rFonts w:ascii="Lato" w:hAnsi="Lato" w:cs="Arial"/>
        </w:rPr>
        <w:t>reservada</w:t>
      </w:r>
      <w:r w:rsidR="003C3A93">
        <w:rPr>
          <w:rFonts w:ascii="Lato" w:hAnsi="Lato" w:cs="Arial"/>
        </w:rPr>
        <w:t xml:space="preserve"> realizad</w:t>
      </w:r>
      <w:r w:rsidR="005C5B59">
        <w:rPr>
          <w:rFonts w:ascii="Lato" w:hAnsi="Lato" w:cs="Arial"/>
        </w:rPr>
        <w:t>o</w:t>
      </w:r>
      <w:r w:rsidR="00DD28F4">
        <w:rPr>
          <w:rFonts w:ascii="Lato" w:hAnsi="Lato" w:cs="Arial"/>
        </w:rPr>
        <w:t xml:space="preserve"> y el </w:t>
      </w:r>
      <w:r w:rsidR="00C15E00">
        <w:rPr>
          <w:rFonts w:ascii="Lato" w:hAnsi="Lato" w:cs="Arial"/>
        </w:rPr>
        <w:t>a</w:t>
      </w:r>
      <w:r w:rsidR="00DD28F4">
        <w:rPr>
          <w:rFonts w:ascii="Lato" w:hAnsi="Lato" w:cs="Arial"/>
        </w:rPr>
        <w:t>cuerdo que confirma dicha clasificación</w:t>
      </w:r>
      <w:r w:rsidR="001B7079">
        <w:rPr>
          <w:rFonts w:ascii="Lato" w:hAnsi="Lato" w:cs="Arial"/>
        </w:rPr>
        <w:t>.</w:t>
      </w:r>
    </w:p>
    <w:p w:rsidR="001B7079" w:rsidRPr="00CA45E0" w:rsidRDefault="001B7079" w:rsidP="00532EBB">
      <w:pPr>
        <w:spacing w:line="336" w:lineRule="auto"/>
        <w:jc w:val="both"/>
        <w:rPr>
          <w:rFonts w:ascii="Lato" w:hAnsi="Lato" w:cs="Arial"/>
          <w:sz w:val="20"/>
        </w:rPr>
      </w:pPr>
    </w:p>
    <w:p w:rsidR="00DA3F0D" w:rsidRDefault="00DA34C7" w:rsidP="00532EBB">
      <w:pPr>
        <w:spacing w:line="336" w:lineRule="auto"/>
        <w:jc w:val="both"/>
        <w:rPr>
          <w:rFonts w:ascii="Lato" w:hAnsi="Lato" w:cs="Arial"/>
        </w:rPr>
      </w:pPr>
      <w:r>
        <w:rPr>
          <w:rFonts w:ascii="Lato" w:hAnsi="Lato" w:cs="Arial"/>
        </w:rPr>
        <w:t>Sin otro asunto que tratar</w:t>
      </w:r>
      <w:r w:rsidR="00DA3F0D" w:rsidRPr="00762A70">
        <w:rPr>
          <w:rFonts w:ascii="Lato" w:hAnsi="Lato" w:cs="Arial"/>
        </w:rPr>
        <w:t xml:space="preserve">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57BE7">
        <w:rPr>
          <w:rFonts w:ascii="Lato" w:hAnsi="Lato" w:cs="Arial"/>
        </w:rPr>
        <w:t>trece</w:t>
      </w:r>
      <w:r>
        <w:rPr>
          <w:rFonts w:ascii="Lato" w:hAnsi="Lato" w:cs="Arial"/>
        </w:rPr>
        <w:t xml:space="preserve"> de </w:t>
      </w:r>
      <w:r w:rsidR="00757BE7">
        <w:rPr>
          <w:rFonts w:ascii="Lato" w:hAnsi="Lato" w:cs="Arial"/>
        </w:rPr>
        <w:t xml:space="preserve">enero </w:t>
      </w:r>
      <w:r w:rsidR="00B33003">
        <w:rPr>
          <w:rFonts w:ascii="Lato" w:hAnsi="Lato" w:cs="Arial"/>
        </w:rPr>
        <w:t xml:space="preserve">de </w:t>
      </w:r>
      <w:r w:rsidR="0043557C">
        <w:rPr>
          <w:rFonts w:ascii="Lato" w:hAnsi="Lato" w:cs="Arial"/>
        </w:rPr>
        <w:t>dos mil veint</w:t>
      </w:r>
      <w:r w:rsidR="00757BE7">
        <w:rPr>
          <w:rFonts w:ascii="Lato" w:hAnsi="Lato" w:cs="Arial"/>
        </w:rPr>
        <w:t>iuno</w:t>
      </w:r>
      <w:r w:rsidR="00DA3F0D" w:rsidRPr="00762A70">
        <w:rPr>
          <w:rFonts w:ascii="Lato" w:hAnsi="Lato" w:cs="Arial"/>
        </w:rPr>
        <w:t>.</w:t>
      </w:r>
    </w:p>
    <w:p w:rsidR="00C15E00" w:rsidRPr="00437362"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5C5B59" w:rsidRDefault="005C5B59" w:rsidP="00C15E00">
      <w:pPr>
        <w:jc w:val="center"/>
        <w:rPr>
          <w:rFonts w:ascii="Lato" w:hAnsi="Lato" w:cs="Arial"/>
          <w:bCs/>
          <w:sz w:val="22"/>
        </w:rPr>
      </w:pPr>
    </w:p>
    <w:p w:rsidR="005C5B59" w:rsidRDefault="005C5B59" w:rsidP="00C15E00">
      <w:pPr>
        <w:jc w:val="center"/>
        <w:rPr>
          <w:rFonts w:ascii="Lato" w:hAnsi="Lato" w:cs="Arial"/>
          <w:bCs/>
          <w:sz w:val="22"/>
        </w:rPr>
      </w:pPr>
    </w:p>
    <w:p w:rsidR="00C15E00" w:rsidRPr="00437362" w:rsidRDefault="00C15E00" w:rsidP="00C15E00">
      <w:pPr>
        <w:jc w:val="center"/>
        <w:rPr>
          <w:rFonts w:ascii="Lato" w:hAnsi="Lato" w:cs="Arial"/>
          <w:bCs/>
          <w:sz w:val="22"/>
        </w:rPr>
      </w:pPr>
    </w:p>
    <w:p w:rsidR="00C15E00" w:rsidRPr="00437362" w:rsidRDefault="00C15E00" w:rsidP="00C15E00">
      <w:pPr>
        <w:jc w:val="center"/>
        <w:rPr>
          <w:rFonts w:ascii="Lato" w:hAnsi="Lato" w:cs="Arial"/>
          <w:bCs/>
          <w:sz w:val="22"/>
        </w:rPr>
      </w:pPr>
    </w:p>
    <w:p w:rsidR="004A2E68" w:rsidRPr="00762A70" w:rsidRDefault="00DA3F0D" w:rsidP="004A2E68">
      <w:pPr>
        <w:jc w:val="center"/>
        <w:rPr>
          <w:rFonts w:ascii="Lato" w:hAnsi="Lato" w:cs="Arial"/>
          <w:bCs/>
        </w:rPr>
      </w:pPr>
      <w:r w:rsidRPr="00762A70">
        <w:rPr>
          <w:rFonts w:ascii="Lato" w:hAnsi="Lato" w:cs="Arial"/>
          <w:bCs/>
        </w:rPr>
        <w:t xml:space="preserve">MAGISTRADO </w:t>
      </w:r>
      <w:r w:rsidR="004A2E68">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C15E00" w:rsidRPr="00437362"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C15E00" w:rsidRDefault="00C15E00" w:rsidP="00C15E00">
      <w:pPr>
        <w:jc w:val="center"/>
        <w:rPr>
          <w:rFonts w:ascii="Lato" w:hAnsi="Lato" w:cs="Arial"/>
          <w:bCs/>
          <w:sz w:val="22"/>
        </w:rPr>
      </w:pPr>
    </w:p>
    <w:p w:rsidR="005C5B59" w:rsidRDefault="005C5B59" w:rsidP="00C15E00">
      <w:pPr>
        <w:jc w:val="center"/>
        <w:rPr>
          <w:rFonts w:ascii="Lato" w:hAnsi="Lato" w:cs="Arial"/>
          <w:bCs/>
          <w:sz w:val="22"/>
        </w:rPr>
      </w:pPr>
    </w:p>
    <w:p w:rsidR="005C5B59" w:rsidRDefault="005C5B59" w:rsidP="00C15E00">
      <w:pPr>
        <w:jc w:val="center"/>
        <w:rPr>
          <w:rFonts w:ascii="Lato" w:hAnsi="Lato" w:cs="Arial"/>
          <w:bCs/>
          <w:sz w:val="22"/>
        </w:rPr>
      </w:pPr>
    </w:p>
    <w:p w:rsidR="00C15E00" w:rsidRPr="00437362" w:rsidRDefault="00C15E00" w:rsidP="00C15E00">
      <w:pPr>
        <w:jc w:val="center"/>
        <w:rPr>
          <w:rFonts w:ascii="Lato" w:hAnsi="Lato" w:cs="Arial"/>
          <w:bCs/>
          <w:sz w:val="22"/>
        </w:rPr>
      </w:pPr>
    </w:p>
    <w:p w:rsidR="00C15E00" w:rsidRPr="00437362" w:rsidRDefault="00C15E00" w:rsidP="00C15E00">
      <w:pPr>
        <w:jc w:val="center"/>
        <w:rPr>
          <w:rFonts w:ascii="Lato" w:hAnsi="Lato" w:cs="Arial"/>
          <w:bCs/>
          <w:sz w:val="22"/>
        </w:rPr>
      </w:pPr>
    </w:p>
    <w:p w:rsidR="00EF7D60" w:rsidRDefault="00EF7D60" w:rsidP="00DA3F0D">
      <w:pPr>
        <w:jc w:val="center"/>
        <w:rPr>
          <w:rFonts w:ascii="Lato" w:hAnsi="Lato" w:cs="Arial"/>
          <w:bCs/>
        </w:rPr>
      </w:pPr>
      <w:r>
        <w:rPr>
          <w:rFonts w:ascii="Lato" w:hAnsi="Lato" w:cs="Arial"/>
          <w:bCs/>
        </w:rPr>
        <w:t xml:space="preserve">MAGISTRADO NELSON ALONSO KIM SALAS </w:t>
      </w:r>
    </w:p>
    <w:p w:rsidR="00EF7D60" w:rsidRDefault="00EF7D60" w:rsidP="00DA3F0D">
      <w:pPr>
        <w:jc w:val="center"/>
        <w:rPr>
          <w:rFonts w:ascii="Lato" w:hAnsi="Lato" w:cs="Arial"/>
          <w:bCs/>
        </w:rPr>
      </w:pPr>
      <w:r>
        <w:rPr>
          <w:rFonts w:ascii="Lato" w:hAnsi="Lato" w:cs="Arial"/>
          <w:bCs/>
        </w:rPr>
        <w:t>Adscrito a la Cuarta Sala del Tribunal Superior de Justicia del Estado</w:t>
      </w:r>
    </w:p>
    <w:p w:rsidR="005C5B59" w:rsidRPr="00437362"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DA3F0D" w:rsidRPr="00762A70" w:rsidRDefault="00EF7D60" w:rsidP="00DA3F0D">
      <w:pPr>
        <w:jc w:val="center"/>
        <w:rPr>
          <w:rFonts w:ascii="Lato" w:hAnsi="Lato" w:cs="Arial"/>
          <w:bCs/>
        </w:rPr>
      </w:pPr>
      <w:r>
        <w:rPr>
          <w:rFonts w:ascii="Lato" w:hAnsi="Lato" w:cs="Arial"/>
          <w:bCs/>
        </w:rPr>
        <w:t>LI</w:t>
      </w:r>
      <w:r w:rsidR="001901F1">
        <w:rPr>
          <w:rFonts w:ascii="Lato" w:hAnsi="Lato" w:cs="Arial"/>
          <w:bCs/>
        </w:rPr>
        <w:t>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5C5B59" w:rsidRPr="00437362"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757BE7"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757BE7">
        <w:rPr>
          <w:rFonts w:ascii="Lato" w:hAnsi="Lato" w:cs="Arial"/>
          <w:bCs/>
        </w:rPr>
        <w:t xml:space="preserve">ROSA </w:t>
      </w:r>
      <w:r w:rsidR="00F435EF">
        <w:rPr>
          <w:rFonts w:ascii="Lato" w:hAnsi="Lato" w:cs="Arial"/>
          <w:bCs/>
        </w:rPr>
        <w:t xml:space="preserve">MARÍA </w:t>
      </w:r>
      <w:r w:rsidR="00757BE7">
        <w:rPr>
          <w:rFonts w:ascii="Lato" w:hAnsi="Lato" w:cs="Arial"/>
          <w:bCs/>
        </w:rPr>
        <w:t>IBARRA OSUNA</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C5B59" w:rsidRPr="00437362"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F435EF">
        <w:rPr>
          <w:rFonts w:ascii="Lato" w:hAnsi="Lato" w:cs="Arial"/>
          <w:bCs/>
        </w:rPr>
        <w:t>VICENTE DE SANTIAGO DONMIGUEL</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5C5B59" w:rsidRPr="00437362"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5C5B59" w:rsidRPr="00437362" w:rsidRDefault="005C5B59" w:rsidP="005C5B59">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42227E" w:rsidRDefault="0042227E" w:rsidP="0059282E">
      <w:pPr>
        <w:jc w:val="center"/>
        <w:rPr>
          <w:rFonts w:ascii="Lato" w:hAnsi="Lato" w:cs="Arial"/>
          <w:bCs/>
        </w:rPr>
      </w:pPr>
    </w:p>
    <w:sectPr w:rsidR="0042227E"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A6" w:rsidRDefault="005072A6" w:rsidP="00CC10D2">
      <w:r>
        <w:separator/>
      </w:r>
    </w:p>
  </w:endnote>
  <w:endnote w:type="continuationSeparator" w:id="0">
    <w:p w:rsidR="005072A6" w:rsidRDefault="005072A6"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7044EF">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757BE7">
            <w:rPr>
              <w:rFonts w:ascii="Lato" w:hAnsi="Lato" w:cs="Arial"/>
            </w:rPr>
            <w:t>0</w:t>
          </w:r>
          <w:r w:rsidR="007044EF">
            <w:rPr>
              <w:rFonts w:ascii="Lato" w:hAnsi="Lato" w:cs="Arial"/>
            </w:rPr>
            <w:t>1</w:t>
          </w:r>
          <w:r w:rsidRPr="00DA524A">
            <w:rPr>
              <w:rFonts w:ascii="Lato" w:hAnsi="Lato" w:cs="Arial"/>
            </w:rPr>
            <w:t>/</w:t>
          </w:r>
          <w:r w:rsidR="00757BE7">
            <w:rPr>
              <w:rFonts w:ascii="Lato" w:hAnsi="Lato" w:cs="Arial"/>
            </w:rPr>
            <w:t>2021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42AF9" w:rsidRPr="00DA524A">
            <w:rPr>
              <w:rFonts w:ascii="Lato" w:hAnsi="Lato" w:cs="Arial"/>
            </w:rPr>
            <w:fldChar w:fldCharType="begin"/>
          </w:r>
          <w:r w:rsidRPr="00DA524A">
            <w:rPr>
              <w:rFonts w:ascii="Lato" w:hAnsi="Lato" w:cs="Arial"/>
            </w:rPr>
            <w:instrText xml:space="preserve"> PAGE   \* MERGEFORMAT </w:instrText>
          </w:r>
          <w:r w:rsidR="00342AF9" w:rsidRPr="00DA524A">
            <w:rPr>
              <w:rFonts w:ascii="Lato" w:hAnsi="Lato" w:cs="Arial"/>
            </w:rPr>
            <w:fldChar w:fldCharType="separate"/>
          </w:r>
          <w:r w:rsidR="0037333D">
            <w:rPr>
              <w:rFonts w:ascii="Lato" w:hAnsi="Lato" w:cs="Arial"/>
              <w:noProof/>
            </w:rPr>
            <w:t>11</w:t>
          </w:r>
          <w:r w:rsidR="00342AF9" w:rsidRPr="00DA524A">
            <w:rPr>
              <w:rFonts w:ascii="Lato" w:hAnsi="Lato" w:cs="Arial"/>
            </w:rPr>
            <w:fldChar w:fldCharType="end"/>
          </w:r>
          <w:r w:rsidRPr="00DA524A">
            <w:rPr>
              <w:rFonts w:ascii="Lato" w:hAnsi="Lato" w:cs="Arial"/>
            </w:rPr>
            <w:t xml:space="preserve"> de </w:t>
          </w:r>
          <w:fldSimple w:instr=" NUMPAGES   \* MERGEFORMAT ">
            <w:r w:rsidR="0037333D" w:rsidRPr="0037333D">
              <w:rPr>
                <w:rFonts w:ascii="Lato" w:hAnsi="Lato" w:cs="Arial"/>
                <w:noProof/>
              </w:rPr>
              <w:t>11</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757BE7">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757BE7">
            <w:rPr>
              <w:rFonts w:ascii="Lato" w:hAnsi="Lato" w:cs="Arial"/>
            </w:rPr>
            <w:t>0</w:t>
          </w:r>
          <w:r w:rsidR="007044EF">
            <w:rPr>
              <w:rFonts w:ascii="Lato" w:hAnsi="Lato" w:cs="Arial"/>
            </w:rPr>
            <w:t>1</w:t>
          </w:r>
          <w:r w:rsidRPr="00DA524A">
            <w:rPr>
              <w:rFonts w:ascii="Lato" w:hAnsi="Lato" w:cs="Arial"/>
            </w:rPr>
            <w:t>/</w:t>
          </w:r>
          <w:r w:rsidR="00757BE7">
            <w:rPr>
              <w:rFonts w:ascii="Lato" w:hAnsi="Lato" w:cs="Arial"/>
            </w:rPr>
            <w:t>2021</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42AF9" w:rsidRPr="00DA524A">
            <w:rPr>
              <w:rFonts w:ascii="Lato" w:hAnsi="Lato" w:cs="Arial"/>
            </w:rPr>
            <w:fldChar w:fldCharType="begin"/>
          </w:r>
          <w:r w:rsidRPr="00DA524A">
            <w:rPr>
              <w:rFonts w:ascii="Lato" w:hAnsi="Lato" w:cs="Arial"/>
            </w:rPr>
            <w:instrText xml:space="preserve"> PAGE   \* MERGEFORMAT </w:instrText>
          </w:r>
          <w:r w:rsidR="00342AF9" w:rsidRPr="00DA524A">
            <w:rPr>
              <w:rFonts w:ascii="Lato" w:hAnsi="Lato" w:cs="Arial"/>
            </w:rPr>
            <w:fldChar w:fldCharType="separate"/>
          </w:r>
          <w:r w:rsidR="0037333D">
            <w:rPr>
              <w:rFonts w:ascii="Lato" w:hAnsi="Lato" w:cs="Arial"/>
              <w:noProof/>
            </w:rPr>
            <w:t>1</w:t>
          </w:r>
          <w:r w:rsidR="00342AF9" w:rsidRPr="00DA524A">
            <w:rPr>
              <w:rFonts w:ascii="Lato" w:hAnsi="Lato" w:cs="Arial"/>
            </w:rPr>
            <w:fldChar w:fldCharType="end"/>
          </w:r>
          <w:r w:rsidRPr="00DA524A">
            <w:rPr>
              <w:rFonts w:ascii="Lato" w:hAnsi="Lato" w:cs="Arial"/>
            </w:rPr>
            <w:t xml:space="preserve"> de </w:t>
          </w:r>
          <w:fldSimple w:instr=" NUMPAGES   \* MERGEFORMAT ">
            <w:r w:rsidR="0037333D" w:rsidRPr="0037333D">
              <w:rPr>
                <w:rFonts w:ascii="Lato" w:hAnsi="Lato" w:cs="Arial"/>
                <w:noProof/>
              </w:rPr>
              <w:t>11</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A6" w:rsidRDefault="005072A6" w:rsidP="00CC10D2">
      <w:r>
        <w:separator/>
      </w:r>
    </w:p>
  </w:footnote>
  <w:footnote w:type="continuationSeparator" w:id="0">
    <w:p w:rsidR="005072A6" w:rsidRDefault="005072A6"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0694"/>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5714"/>
    <w:rsid w:val="0007627B"/>
    <w:rsid w:val="00080A26"/>
    <w:rsid w:val="00080D13"/>
    <w:rsid w:val="0008482B"/>
    <w:rsid w:val="00087613"/>
    <w:rsid w:val="00087E34"/>
    <w:rsid w:val="000933F3"/>
    <w:rsid w:val="000964AD"/>
    <w:rsid w:val="000978DF"/>
    <w:rsid w:val="00097FF7"/>
    <w:rsid w:val="000A1644"/>
    <w:rsid w:val="000A1A51"/>
    <w:rsid w:val="000A38D8"/>
    <w:rsid w:val="000A3D06"/>
    <w:rsid w:val="000A6B75"/>
    <w:rsid w:val="000A73AE"/>
    <w:rsid w:val="000A7489"/>
    <w:rsid w:val="000B072A"/>
    <w:rsid w:val="000B1A99"/>
    <w:rsid w:val="000B2DD3"/>
    <w:rsid w:val="000B4DFB"/>
    <w:rsid w:val="000B59A4"/>
    <w:rsid w:val="000B59C9"/>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4B5"/>
    <w:rsid w:val="000E6885"/>
    <w:rsid w:val="000E6C79"/>
    <w:rsid w:val="000F1840"/>
    <w:rsid w:val="000F19A0"/>
    <w:rsid w:val="000F23B5"/>
    <w:rsid w:val="000F331A"/>
    <w:rsid w:val="000F4089"/>
    <w:rsid w:val="000F58C6"/>
    <w:rsid w:val="000F6402"/>
    <w:rsid w:val="000F79D4"/>
    <w:rsid w:val="00101CA7"/>
    <w:rsid w:val="001039F3"/>
    <w:rsid w:val="00105162"/>
    <w:rsid w:val="00105399"/>
    <w:rsid w:val="00105B7C"/>
    <w:rsid w:val="001106BE"/>
    <w:rsid w:val="00113902"/>
    <w:rsid w:val="00113D42"/>
    <w:rsid w:val="00114C8F"/>
    <w:rsid w:val="00116C61"/>
    <w:rsid w:val="00120E73"/>
    <w:rsid w:val="001224D0"/>
    <w:rsid w:val="001229AA"/>
    <w:rsid w:val="001232FD"/>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3137"/>
    <w:rsid w:val="0016414C"/>
    <w:rsid w:val="001713C7"/>
    <w:rsid w:val="0017322E"/>
    <w:rsid w:val="00175FA2"/>
    <w:rsid w:val="00176616"/>
    <w:rsid w:val="00176E3F"/>
    <w:rsid w:val="001770A5"/>
    <w:rsid w:val="00180F4B"/>
    <w:rsid w:val="001849A6"/>
    <w:rsid w:val="00184D9C"/>
    <w:rsid w:val="0018650D"/>
    <w:rsid w:val="001872F2"/>
    <w:rsid w:val="00187876"/>
    <w:rsid w:val="001901F1"/>
    <w:rsid w:val="00191D9E"/>
    <w:rsid w:val="0019312A"/>
    <w:rsid w:val="0019574F"/>
    <w:rsid w:val="001963B9"/>
    <w:rsid w:val="00196964"/>
    <w:rsid w:val="001A108A"/>
    <w:rsid w:val="001A7FD6"/>
    <w:rsid w:val="001B1C9C"/>
    <w:rsid w:val="001B43C0"/>
    <w:rsid w:val="001B4484"/>
    <w:rsid w:val="001B693E"/>
    <w:rsid w:val="001B7079"/>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20C7"/>
    <w:rsid w:val="001F2757"/>
    <w:rsid w:val="001F3C35"/>
    <w:rsid w:val="001F7C91"/>
    <w:rsid w:val="00200FE2"/>
    <w:rsid w:val="00206199"/>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E6F54"/>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1E60"/>
    <w:rsid w:val="0033207E"/>
    <w:rsid w:val="00332EA8"/>
    <w:rsid w:val="00334784"/>
    <w:rsid w:val="003359F8"/>
    <w:rsid w:val="00336CE1"/>
    <w:rsid w:val="00340977"/>
    <w:rsid w:val="00342AF9"/>
    <w:rsid w:val="00342CBB"/>
    <w:rsid w:val="003432AD"/>
    <w:rsid w:val="00343754"/>
    <w:rsid w:val="00350208"/>
    <w:rsid w:val="003563AA"/>
    <w:rsid w:val="00360EA8"/>
    <w:rsid w:val="003636E7"/>
    <w:rsid w:val="0036528E"/>
    <w:rsid w:val="0036612E"/>
    <w:rsid w:val="003661C3"/>
    <w:rsid w:val="00367134"/>
    <w:rsid w:val="00367D01"/>
    <w:rsid w:val="003703F0"/>
    <w:rsid w:val="00371917"/>
    <w:rsid w:val="00372A1F"/>
    <w:rsid w:val="0037333D"/>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794"/>
    <w:rsid w:val="003C6CB3"/>
    <w:rsid w:val="003C70AC"/>
    <w:rsid w:val="003D041D"/>
    <w:rsid w:val="003D4A99"/>
    <w:rsid w:val="003D5320"/>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16248"/>
    <w:rsid w:val="00421A4C"/>
    <w:rsid w:val="0042227E"/>
    <w:rsid w:val="0042313E"/>
    <w:rsid w:val="0042362D"/>
    <w:rsid w:val="00425420"/>
    <w:rsid w:val="00430F7D"/>
    <w:rsid w:val="00433EC4"/>
    <w:rsid w:val="00433EDB"/>
    <w:rsid w:val="0043487D"/>
    <w:rsid w:val="0043557C"/>
    <w:rsid w:val="00437362"/>
    <w:rsid w:val="0044086F"/>
    <w:rsid w:val="004419D2"/>
    <w:rsid w:val="00450A85"/>
    <w:rsid w:val="00456E99"/>
    <w:rsid w:val="0045731A"/>
    <w:rsid w:val="00460B4A"/>
    <w:rsid w:val="00462B8A"/>
    <w:rsid w:val="004642CB"/>
    <w:rsid w:val="0046436D"/>
    <w:rsid w:val="004652C1"/>
    <w:rsid w:val="004671E1"/>
    <w:rsid w:val="00471EC6"/>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2A3A"/>
    <w:rsid w:val="004A2E68"/>
    <w:rsid w:val="004A3133"/>
    <w:rsid w:val="004B0C00"/>
    <w:rsid w:val="004B114A"/>
    <w:rsid w:val="004B4C50"/>
    <w:rsid w:val="004B55C8"/>
    <w:rsid w:val="004B6CFE"/>
    <w:rsid w:val="004C2CF9"/>
    <w:rsid w:val="004C53CF"/>
    <w:rsid w:val="004C7563"/>
    <w:rsid w:val="004D2D18"/>
    <w:rsid w:val="004D411F"/>
    <w:rsid w:val="004D776D"/>
    <w:rsid w:val="004E0A8A"/>
    <w:rsid w:val="004E1B2E"/>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1BD3"/>
    <w:rsid w:val="00503DA5"/>
    <w:rsid w:val="00506D37"/>
    <w:rsid w:val="005072A6"/>
    <w:rsid w:val="0051010A"/>
    <w:rsid w:val="005112EB"/>
    <w:rsid w:val="005128DE"/>
    <w:rsid w:val="00512A5C"/>
    <w:rsid w:val="00513D94"/>
    <w:rsid w:val="005157B0"/>
    <w:rsid w:val="0051591B"/>
    <w:rsid w:val="00521999"/>
    <w:rsid w:val="00521A03"/>
    <w:rsid w:val="00522BA8"/>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C30"/>
    <w:rsid w:val="00545BE5"/>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072E"/>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C5B59"/>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613"/>
    <w:rsid w:val="00671E47"/>
    <w:rsid w:val="00672F3D"/>
    <w:rsid w:val="00675858"/>
    <w:rsid w:val="00675A1B"/>
    <w:rsid w:val="0068142D"/>
    <w:rsid w:val="00681C92"/>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02BE"/>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37D0"/>
    <w:rsid w:val="006F4AD2"/>
    <w:rsid w:val="006F62A8"/>
    <w:rsid w:val="006F7FD5"/>
    <w:rsid w:val="00701813"/>
    <w:rsid w:val="007044EF"/>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57BE7"/>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2AA5"/>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5E8"/>
    <w:rsid w:val="00814A40"/>
    <w:rsid w:val="00814D07"/>
    <w:rsid w:val="008150B7"/>
    <w:rsid w:val="008215F8"/>
    <w:rsid w:val="00822406"/>
    <w:rsid w:val="00822714"/>
    <w:rsid w:val="0083056D"/>
    <w:rsid w:val="00830832"/>
    <w:rsid w:val="008317FC"/>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4414"/>
    <w:rsid w:val="00875C7B"/>
    <w:rsid w:val="00876717"/>
    <w:rsid w:val="00877954"/>
    <w:rsid w:val="00880085"/>
    <w:rsid w:val="0088095B"/>
    <w:rsid w:val="00883475"/>
    <w:rsid w:val="00883F2D"/>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61DC"/>
    <w:rsid w:val="008D7A86"/>
    <w:rsid w:val="008E02D4"/>
    <w:rsid w:val="008E293F"/>
    <w:rsid w:val="008E42FC"/>
    <w:rsid w:val="008E5079"/>
    <w:rsid w:val="008F0271"/>
    <w:rsid w:val="008F0EC9"/>
    <w:rsid w:val="008F1265"/>
    <w:rsid w:val="008F18FA"/>
    <w:rsid w:val="008F29F9"/>
    <w:rsid w:val="008F3C11"/>
    <w:rsid w:val="008F5545"/>
    <w:rsid w:val="00910B47"/>
    <w:rsid w:val="00910D23"/>
    <w:rsid w:val="00912682"/>
    <w:rsid w:val="00912D7C"/>
    <w:rsid w:val="009136C7"/>
    <w:rsid w:val="00913A25"/>
    <w:rsid w:val="0091482D"/>
    <w:rsid w:val="00917293"/>
    <w:rsid w:val="00920EF1"/>
    <w:rsid w:val="00921CC3"/>
    <w:rsid w:val="00923BDC"/>
    <w:rsid w:val="009270A4"/>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69C5"/>
    <w:rsid w:val="00AC7E7B"/>
    <w:rsid w:val="00AD18FB"/>
    <w:rsid w:val="00AD2F2B"/>
    <w:rsid w:val="00AD5217"/>
    <w:rsid w:val="00AD7B52"/>
    <w:rsid w:val="00AE040F"/>
    <w:rsid w:val="00AE0D26"/>
    <w:rsid w:val="00AE4680"/>
    <w:rsid w:val="00AE7DA0"/>
    <w:rsid w:val="00AF227B"/>
    <w:rsid w:val="00AF3DBD"/>
    <w:rsid w:val="00AF5340"/>
    <w:rsid w:val="00B009FE"/>
    <w:rsid w:val="00B0152F"/>
    <w:rsid w:val="00B01F5D"/>
    <w:rsid w:val="00B05033"/>
    <w:rsid w:val="00B05150"/>
    <w:rsid w:val="00B06479"/>
    <w:rsid w:val="00B07456"/>
    <w:rsid w:val="00B079D1"/>
    <w:rsid w:val="00B07EF6"/>
    <w:rsid w:val="00B10B5B"/>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17FE"/>
    <w:rsid w:val="00B45AE9"/>
    <w:rsid w:val="00B45C54"/>
    <w:rsid w:val="00B473B3"/>
    <w:rsid w:val="00B50A90"/>
    <w:rsid w:val="00B5162C"/>
    <w:rsid w:val="00B524DB"/>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1C83"/>
    <w:rsid w:val="00BA27CD"/>
    <w:rsid w:val="00BA34B1"/>
    <w:rsid w:val="00BA6ADA"/>
    <w:rsid w:val="00BA7BBD"/>
    <w:rsid w:val="00BB4028"/>
    <w:rsid w:val="00BB68AD"/>
    <w:rsid w:val="00BB74DF"/>
    <w:rsid w:val="00BC136D"/>
    <w:rsid w:val="00BC3CAE"/>
    <w:rsid w:val="00BD0023"/>
    <w:rsid w:val="00BD0881"/>
    <w:rsid w:val="00BD1A47"/>
    <w:rsid w:val="00BD1E80"/>
    <w:rsid w:val="00BD2FBE"/>
    <w:rsid w:val="00BD49D7"/>
    <w:rsid w:val="00BD7270"/>
    <w:rsid w:val="00BE0B90"/>
    <w:rsid w:val="00BE1CFB"/>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00"/>
    <w:rsid w:val="00C15E59"/>
    <w:rsid w:val="00C219CB"/>
    <w:rsid w:val="00C22D65"/>
    <w:rsid w:val="00C24E31"/>
    <w:rsid w:val="00C27215"/>
    <w:rsid w:val="00C30BF8"/>
    <w:rsid w:val="00C3136F"/>
    <w:rsid w:val="00C325F9"/>
    <w:rsid w:val="00C346BE"/>
    <w:rsid w:val="00C34C3C"/>
    <w:rsid w:val="00C35CBA"/>
    <w:rsid w:val="00C36503"/>
    <w:rsid w:val="00C41F7D"/>
    <w:rsid w:val="00C43BD6"/>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68E5"/>
    <w:rsid w:val="00C67F73"/>
    <w:rsid w:val="00C7162C"/>
    <w:rsid w:val="00C729AA"/>
    <w:rsid w:val="00C73101"/>
    <w:rsid w:val="00C74427"/>
    <w:rsid w:val="00C76043"/>
    <w:rsid w:val="00C80857"/>
    <w:rsid w:val="00C80F85"/>
    <w:rsid w:val="00C813E6"/>
    <w:rsid w:val="00C8434C"/>
    <w:rsid w:val="00C85B09"/>
    <w:rsid w:val="00C9091F"/>
    <w:rsid w:val="00C916D6"/>
    <w:rsid w:val="00C91B71"/>
    <w:rsid w:val="00C91FC3"/>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357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08F4"/>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0066"/>
    <w:rsid w:val="00D94941"/>
    <w:rsid w:val="00D94EDA"/>
    <w:rsid w:val="00D96376"/>
    <w:rsid w:val="00D96729"/>
    <w:rsid w:val="00D97CC7"/>
    <w:rsid w:val="00DA1D40"/>
    <w:rsid w:val="00DA2D71"/>
    <w:rsid w:val="00DA34C7"/>
    <w:rsid w:val="00DA3C84"/>
    <w:rsid w:val="00DA3F0D"/>
    <w:rsid w:val="00DA524A"/>
    <w:rsid w:val="00DA5275"/>
    <w:rsid w:val="00DA53CF"/>
    <w:rsid w:val="00DA5646"/>
    <w:rsid w:val="00DA6B51"/>
    <w:rsid w:val="00DA7068"/>
    <w:rsid w:val="00DA72D1"/>
    <w:rsid w:val="00DB06DE"/>
    <w:rsid w:val="00DB1C0E"/>
    <w:rsid w:val="00DB58AE"/>
    <w:rsid w:val="00DB6646"/>
    <w:rsid w:val="00DC188C"/>
    <w:rsid w:val="00DC238A"/>
    <w:rsid w:val="00DC330D"/>
    <w:rsid w:val="00DC3364"/>
    <w:rsid w:val="00DC4078"/>
    <w:rsid w:val="00DC5654"/>
    <w:rsid w:val="00DC58B6"/>
    <w:rsid w:val="00DC673F"/>
    <w:rsid w:val="00DC762B"/>
    <w:rsid w:val="00DD143D"/>
    <w:rsid w:val="00DD28F4"/>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56807"/>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2EBF"/>
    <w:rsid w:val="00E9405C"/>
    <w:rsid w:val="00E95217"/>
    <w:rsid w:val="00E96EB9"/>
    <w:rsid w:val="00E97FFC"/>
    <w:rsid w:val="00EA0926"/>
    <w:rsid w:val="00EA2C81"/>
    <w:rsid w:val="00EA5F08"/>
    <w:rsid w:val="00EA79F4"/>
    <w:rsid w:val="00EB20A0"/>
    <w:rsid w:val="00EB2F5B"/>
    <w:rsid w:val="00EB310B"/>
    <w:rsid w:val="00EB3BCF"/>
    <w:rsid w:val="00EB4316"/>
    <w:rsid w:val="00EB4C4D"/>
    <w:rsid w:val="00EB7052"/>
    <w:rsid w:val="00EB7744"/>
    <w:rsid w:val="00EC1228"/>
    <w:rsid w:val="00EC1E1B"/>
    <w:rsid w:val="00EC7173"/>
    <w:rsid w:val="00ED05B4"/>
    <w:rsid w:val="00ED2188"/>
    <w:rsid w:val="00ED36B7"/>
    <w:rsid w:val="00ED3C7F"/>
    <w:rsid w:val="00ED79DA"/>
    <w:rsid w:val="00EE1E5D"/>
    <w:rsid w:val="00EE4804"/>
    <w:rsid w:val="00EE5F97"/>
    <w:rsid w:val="00EE7930"/>
    <w:rsid w:val="00EF0D12"/>
    <w:rsid w:val="00EF283A"/>
    <w:rsid w:val="00EF2BF1"/>
    <w:rsid w:val="00EF37D6"/>
    <w:rsid w:val="00EF7D60"/>
    <w:rsid w:val="00EF7F51"/>
    <w:rsid w:val="00F00C1F"/>
    <w:rsid w:val="00F01C45"/>
    <w:rsid w:val="00F022DC"/>
    <w:rsid w:val="00F042CF"/>
    <w:rsid w:val="00F0579B"/>
    <w:rsid w:val="00F14003"/>
    <w:rsid w:val="00F16D68"/>
    <w:rsid w:val="00F17D87"/>
    <w:rsid w:val="00F20EB0"/>
    <w:rsid w:val="00F25850"/>
    <w:rsid w:val="00F26E95"/>
    <w:rsid w:val="00F2797A"/>
    <w:rsid w:val="00F27B98"/>
    <w:rsid w:val="00F31098"/>
    <w:rsid w:val="00F37AAD"/>
    <w:rsid w:val="00F41C99"/>
    <w:rsid w:val="00F4334D"/>
    <w:rsid w:val="00F435EF"/>
    <w:rsid w:val="00F47BE7"/>
    <w:rsid w:val="00F54F5E"/>
    <w:rsid w:val="00F563CC"/>
    <w:rsid w:val="00F579FD"/>
    <w:rsid w:val="00F6094E"/>
    <w:rsid w:val="00F60C15"/>
    <w:rsid w:val="00F63A65"/>
    <w:rsid w:val="00F63BB4"/>
    <w:rsid w:val="00F646F1"/>
    <w:rsid w:val="00F65867"/>
    <w:rsid w:val="00F675E4"/>
    <w:rsid w:val="00F67FBF"/>
    <w:rsid w:val="00F70F44"/>
    <w:rsid w:val="00F71D3C"/>
    <w:rsid w:val="00F74B43"/>
    <w:rsid w:val="00F77FDD"/>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17F0"/>
    <w:rsid w:val="00FF1ECE"/>
    <w:rsid w:val="00FF3638"/>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1">
    <w:name w:val="heading 1"/>
    <w:basedOn w:val="Normal"/>
    <w:next w:val="Normal"/>
    <w:link w:val="Ttulo1Car"/>
    <w:uiPriority w:val="9"/>
    <w:qFormat/>
    <w:rsid w:val="0042227E"/>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uiPriority w:val="9"/>
    <w:semiHidden/>
    <w:unhideWhenUsed/>
    <w:qFormat/>
    <w:rsid w:val="0042227E"/>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42227E"/>
    <w:rPr>
      <w:rFonts w:asciiTheme="majorHAnsi" w:eastAsiaTheme="majorEastAsia" w:hAnsiTheme="majorHAnsi" w:cstheme="majorBidi"/>
      <w:b/>
      <w:bCs/>
      <w:color w:val="848057" w:themeColor="accent1" w:themeShade="BF"/>
      <w:sz w:val="28"/>
      <w:szCs w:val="28"/>
      <w:lang w:val="es-MX" w:eastAsia="es-ES"/>
    </w:rPr>
  </w:style>
  <w:style w:type="character" w:customStyle="1" w:styleId="Ttulo2Car">
    <w:name w:val="Título 2 Car"/>
    <w:basedOn w:val="Fuentedeprrafopredeter"/>
    <w:link w:val="Ttulo2"/>
    <w:uiPriority w:val="9"/>
    <w:semiHidden/>
    <w:rsid w:val="0042227E"/>
    <w:rPr>
      <w:rFonts w:asciiTheme="majorHAnsi" w:eastAsiaTheme="majorEastAsia" w:hAnsiTheme="majorHAnsi" w:cstheme="majorBidi"/>
      <w:b/>
      <w:bCs/>
      <w:color w:val="A9A57C" w:themeColor="accent1"/>
      <w:sz w:val="26"/>
      <w:szCs w:val="26"/>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1">
    <w:name w:val="heading 1"/>
    <w:basedOn w:val="Normal"/>
    <w:next w:val="Normal"/>
    <w:link w:val="Ttulo1Car"/>
    <w:uiPriority w:val="9"/>
    <w:qFormat/>
    <w:rsid w:val="0042227E"/>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uiPriority w:val="9"/>
    <w:semiHidden/>
    <w:unhideWhenUsed/>
    <w:qFormat/>
    <w:rsid w:val="0042227E"/>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42227E"/>
    <w:rPr>
      <w:rFonts w:asciiTheme="majorHAnsi" w:eastAsiaTheme="majorEastAsia" w:hAnsiTheme="majorHAnsi" w:cstheme="majorBidi"/>
      <w:b/>
      <w:bCs/>
      <w:color w:val="848057" w:themeColor="accent1" w:themeShade="BF"/>
      <w:sz w:val="28"/>
      <w:szCs w:val="28"/>
      <w:lang w:val="es-MX" w:eastAsia="es-ES"/>
    </w:rPr>
  </w:style>
  <w:style w:type="character" w:customStyle="1" w:styleId="Ttulo2Car">
    <w:name w:val="Título 2 Car"/>
    <w:basedOn w:val="Fuentedeprrafopredeter"/>
    <w:link w:val="Ttulo2"/>
    <w:uiPriority w:val="9"/>
    <w:semiHidden/>
    <w:rsid w:val="0042227E"/>
    <w:rPr>
      <w:rFonts w:asciiTheme="majorHAnsi" w:eastAsiaTheme="majorEastAsia" w:hAnsiTheme="majorHAnsi" w:cstheme="majorBidi"/>
      <w:b/>
      <w:bCs/>
      <w:color w:val="A9A57C" w:themeColor="accent1"/>
      <w:sz w:val="26"/>
      <w:szCs w:val="26"/>
      <w:lang w:val="es-MX"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87078424">
      <w:bodyDiv w:val="1"/>
      <w:marLeft w:val="0"/>
      <w:marRight w:val="0"/>
      <w:marTop w:val="0"/>
      <w:marBottom w:val="0"/>
      <w:divBdr>
        <w:top w:val="none" w:sz="0" w:space="0" w:color="auto"/>
        <w:left w:val="none" w:sz="0" w:space="0" w:color="auto"/>
        <w:bottom w:val="none" w:sz="0" w:space="0" w:color="auto"/>
        <w:right w:val="none" w:sz="0" w:space="0" w:color="auto"/>
      </w:divBdr>
      <w:divsChild>
        <w:div w:id="555974313">
          <w:marLeft w:val="0"/>
          <w:marRight w:val="0"/>
          <w:marTop w:val="0"/>
          <w:marBottom w:val="101"/>
          <w:divBdr>
            <w:top w:val="none" w:sz="0" w:space="0" w:color="auto"/>
            <w:left w:val="none" w:sz="0" w:space="0" w:color="auto"/>
            <w:bottom w:val="none" w:sz="0" w:space="0" w:color="auto"/>
            <w:right w:val="none" w:sz="0" w:space="0" w:color="auto"/>
          </w:divBdr>
        </w:div>
        <w:div w:id="1063723866">
          <w:marLeft w:val="864"/>
          <w:marRight w:val="0"/>
          <w:marTop w:val="0"/>
          <w:marBottom w:val="101"/>
          <w:divBdr>
            <w:top w:val="none" w:sz="0" w:space="0" w:color="auto"/>
            <w:left w:val="none" w:sz="0" w:space="0" w:color="auto"/>
            <w:bottom w:val="none" w:sz="0" w:space="0" w:color="auto"/>
            <w:right w:val="none" w:sz="0" w:space="0" w:color="auto"/>
          </w:divBdr>
        </w:div>
        <w:div w:id="1174418503">
          <w:marLeft w:val="864"/>
          <w:marRight w:val="0"/>
          <w:marTop w:val="0"/>
          <w:marBottom w:val="101"/>
          <w:divBdr>
            <w:top w:val="none" w:sz="0" w:space="0" w:color="auto"/>
            <w:left w:val="none" w:sz="0" w:space="0" w:color="auto"/>
            <w:bottom w:val="none" w:sz="0" w:space="0" w:color="auto"/>
            <w:right w:val="none" w:sz="0" w:space="0" w:color="auto"/>
          </w:divBdr>
        </w:div>
        <w:div w:id="775440402">
          <w:marLeft w:val="864"/>
          <w:marRight w:val="0"/>
          <w:marTop w:val="0"/>
          <w:marBottom w:val="101"/>
          <w:divBdr>
            <w:top w:val="none" w:sz="0" w:space="0" w:color="auto"/>
            <w:left w:val="none" w:sz="0" w:space="0" w:color="auto"/>
            <w:bottom w:val="none" w:sz="0" w:space="0" w:color="auto"/>
            <w:right w:val="none" w:sz="0" w:space="0" w:color="auto"/>
          </w:divBdr>
        </w:div>
        <w:div w:id="178783289">
          <w:marLeft w:val="864"/>
          <w:marRight w:val="0"/>
          <w:marTop w:val="0"/>
          <w:marBottom w:val="101"/>
          <w:divBdr>
            <w:top w:val="none" w:sz="0" w:space="0" w:color="auto"/>
            <w:left w:val="none" w:sz="0" w:space="0" w:color="auto"/>
            <w:bottom w:val="none" w:sz="0" w:space="0" w:color="auto"/>
            <w:right w:val="none" w:sz="0" w:space="0" w:color="auto"/>
          </w:divBdr>
        </w:div>
        <w:div w:id="283537914">
          <w:marLeft w:val="0"/>
          <w:marRight w:val="0"/>
          <w:marTop w:val="0"/>
          <w:marBottom w:val="101"/>
          <w:divBdr>
            <w:top w:val="none" w:sz="0" w:space="0" w:color="auto"/>
            <w:left w:val="none" w:sz="0" w:space="0" w:color="auto"/>
            <w:bottom w:val="none" w:sz="0" w:space="0" w:color="auto"/>
            <w:right w:val="none" w:sz="0" w:space="0" w:color="auto"/>
          </w:divBdr>
        </w:div>
        <w:div w:id="1067263391">
          <w:marLeft w:val="0"/>
          <w:marRight w:val="0"/>
          <w:marTop w:val="0"/>
          <w:marBottom w:val="101"/>
          <w:divBdr>
            <w:top w:val="none" w:sz="0" w:space="0" w:color="auto"/>
            <w:left w:val="none" w:sz="0" w:space="0" w:color="auto"/>
            <w:bottom w:val="none" w:sz="0" w:space="0" w:color="auto"/>
            <w:right w:val="none" w:sz="0" w:space="0" w:color="auto"/>
          </w:divBdr>
        </w:div>
        <w:div w:id="1595817153">
          <w:marLeft w:val="864"/>
          <w:marRight w:val="0"/>
          <w:marTop w:val="0"/>
          <w:marBottom w:val="101"/>
          <w:divBdr>
            <w:top w:val="none" w:sz="0" w:space="0" w:color="auto"/>
            <w:left w:val="none" w:sz="0" w:space="0" w:color="auto"/>
            <w:bottom w:val="none" w:sz="0" w:space="0" w:color="auto"/>
            <w:right w:val="none" w:sz="0" w:space="0" w:color="auto"/>
          </w:divBdr>
        </w:div>
        <w:div w:id="1417169562">
          <w:marLeft w:val="864"/>
          <w:marRight w:val="0"/>
          <w:marTop w:val="0"/>
          <w:marBottom w:val="101"/>
          <w:divBdr>
            <w:top w:val="none" w:sz="0" w:space="0" w:color="auto"/>
            <w:left w:val="none" w:sz="0" w:space="0" w:color="auto"/>
            <w:bottom w:val="none" w:sz="0" w:space="0" w:color="auto"/>
            <w:right w:val="none" w:sz="0" w:space="0" w:color="auto"/>
          </w:divBdr>
        </w:div>
        <w:div w:id="508982848">
          <w:marLeft w:val="0"/>
          <w:marRight w:val="0"/>
          <w:marTop w:val="0"/>
          <w:marBottom w:val="101"/>
          <w:divBdr>
            <w:top w:val="none" w:sz="0" w:space="0" w:color="auto"/>
            <w:left w:val="none" w:sz="0" w:space="0" w:color="auto"/>
            <w:bottom w:val="none" w:sz="0" w:space="0" w:color="auto"/>
            <w:right w:val="none" w:sz="0" w:space="0" w:color="auto"/>
          </w:divBdr>
        </w:div>
        <w:div w:id="695614360">
          <w:marLeft w:val="0"/>
          <w:marRight w:val="0"/>
          <w:marTop w:val="0"/>
          <w:marBottom w:val="101"/>
          <w:divBdr>
            <w:top w:val="none" w:sz="0" w:space="0" w:color="auto"/>
            <w:left w:val="none" w:sz="0" w:space="0" w:color="auto"/>
            <w:bottom w:val="none" w:sz="0" w:space="0" w:color="auto"/>
            <w:right w:val="none" w:sz="0" w:space="0" w:color="auto"/>
          </w:divBdr>
        </w:div>
        <w:div w:id="1222983622">
          <w:marLeft w:val="0"/>
          <w:marRight w:val="0"/>
          <w:marTop w:val="0"/>
          <w:marBottom w:val="101"/>
          <w:divBdr>
            <w:top w:val="none" w:sz="0" w:space="0" w:color="auto"/>
            <w:left w:val="none" w:sz="0" w:space="0" w:color="auto"/>
            <w:bottom w:val="none" w:sz="0" w:space="0" w:color="auto"/>
            <w:right w:val="none" w:sz="0" w:space="0" w:color="auto"/>
          </w:divBdr>
        </w:div>
        <w:div w:id="584152256">
          <w:marLeft w:val="0"/>
          <w:marRight w:val="0"/>
          <w:marTop w:val="0"/>
          <w:marBottom w:val="101"/>
          <w:divBdr>
            <w:top w:val="none" w:sz="0" w:space="0" w:color="auto"/>
            <w:left w:val="none" w:sz="0" w:space="0" w:color="auto"/>
            <w:bottom w:val="none" w:sz="0" w:space="0" w:color="auto"/>
            <w:right w:val="none" w:sz="0" w:space="0" w:color="auto"/>
          </w:divBdr>
        </w:div>
        <w:div w:id="340468755">
          <w:marLeft w:val="0"/>
          <w:marRight w:val="0"/>
          <w:marTop w:val="0"/>
          <w:marBottom w:val="101"/>
          <w:divBdr>
            <w:top w:val="none" w:sz="0" w:space="0" w:color="auto"/>
            <w:left w:val="none" w:sz="0" w:space="0" w:color="auto"/>
            <w:bottom w:val="none" w:sz="0" w:space="0" w:color="auto"/>
            <w:right w:val="none" w:sz="0" w:space="0" w:color="auto"/>
          </w:divBdr>
        </w:div>
        <w:div w:id="192042441">
          <w:marLeft w:val="0"/>
          <w:marRight w:val="0"/>
          <w:marTop w:val="0"/>
          <w:marBottom w:val="101"/>
          <w:divBdr>
            <w:top w:val="none" w:sz="0" w:space="0" w:color="auto"/>
            <w:left w:val="none" w:sz="0" w:space="0" w:color="auto"/>
            <w:bottom w:val="none" w:sz="0" w:space="0" w:color="auto"/>
            <w:right w:val="none" w:sz="0" w:space="0" w:color="auto"/>
          </w:divBdr>
        </w:div>
        <w:div w:id="759177131">
          <w:marLeft w:val="0"/>
          <w:marRight w:val="0"/>
          <w:marTop w:val="0"/>
          <w:marBottom w:val="82"/>
          <w:divBdr>
            <w:top w:val="none" w:sz="0" w:space="0" w:color="auto"/>
            <w:left w:val="none" w:sz="0" w:space="0" w:color="auto"/>
            <w:bottom w:val="none" w:sz="0" w:space="0" w:color="auto"/>
            <w:right w:val="none" w:sz="0" w:space="0" w:color="auto"/>
          </w:divBdr>
        </w:div>
        <w:div w:id="1659454988">
          <w:marLeft w:val="0"/>
          <w:marRight w:val="0"/>
          <w:marTop w:val="0"/>
          <w:marBottom w:val="82"/>
          <w:divBdr>
            <w:top w:val="none" w:sz="0" w:space="0" w:color="auto"/>
            <w:left w:val="none" w:sz="0" w:space="0" w:color="auto"/>
            <w:bottom w:val="none" w:sz="0" w:space="0" w:color="auto"/>
            <w:right w:val="none" w:sz="0" w:space="0" w:color="auto"/>
          </w:divBdr>
        </w:div>
        <w:div w:id="1261529961">
          <w:marLeft w:val="864"/>
          <w:marRight w:val="0"/>
          <w:marTop w:val="0"/>
          <w:marBottom w:val="82"/>
          <w:divBdr>
            <w:top w:val="none" w:sz="0" w:space="0" w:color="auto"/>
            <w:left w:val="none" w:sz="0" w:space="0" w:color="auto"/>
            <w:bottom w:val="none" w:sz="0" w:space="0" w:color="auto"/>
            <w:right w:val="none" w:sz="0" w:space="0" w:color="auto"/>
          </w:divBdr>
        </w:div>
        <w:div w:id="974871354">
          <w:marLeft w:val="864"/>
          <w:marRight w:val="0"/>
          <w:marTop w:val="0"/>
          <w:marBottom w:val="82"/>
          <w:divBdr>
            <w:top w:val="none" w:sz="0" w:space="0" w:color="auto"/>
            <w:left w:val="none" w:sz="0" w:space="0" w:color="auto"/>
            <w:bottom w:val="none" w:sz="0" w:space="0" w:color="auto"/>
            <w:right w:val="none" w:sz="0" w:space="0" w:color="auto"/>
          </w:divBdr>
        </w:div>
        <w:div w:id="1510020163">
          <w:marLeft w:val="864"/>
          <w:marRight w:val="0"/>
          <w:marTop w:val="0"/>
          <w:marBottom w:val="82"/>
          <w:divBdr>
            <w:top w:val="none" w:sz="0" w:space="0" w:color="auto"/>
            <w:left w:val="none" w:sz="0" w:space="0" w:color="auto"/>
            <w:bottom w:val="none" w:sz="0" w:space="0" w:color="auto"/>
            <w:right w:val="none" w:sz="0" w:space="0" w:color="auto"/>
          </w:divBdr>
        </w:div>
        <w:div w:id="1700351616">
          <w:marLeft w:val="864"/>
          <w:marRight w:val="0"/>
          <w:marTop w:val="0"/>
          <w:marBottom w:val="82"/>
          <w:divBdr>
            <w:top w:val="none" w:sz="0" w:space="0" w:color="auto"/>
            <w:left w:val="none" w:sz="0" w:space="0" w:color="auto"/>
            <w:bottom w:val="none" w:sz="0" w:space="0" w:color="auto"/>
            <w:right w:val="none" w:sz="0" w:space="0" w:color="auto"/>
          </w:divBdr>
        </w:div>
        <w:div w:id="470245934">
          <w:marLeft w:val="864"/>
          <w:marRight w:val="0"/>
          <w:marTop w:val="0"/>
          <w:marBottom w:val="82"/>
          <w:divBdr>
            <w:top w:val="none" w:sz="0" w:space="0" w:color="auto"/>
            <w:left w:val="none" w:sz="0" w:space="0" w:color="auto"/>
            <w:bottom w:val="none" w:sz="0" w:space="0" w:color="auto"/>
            <w:right w:val="none" w:sz="0" w:space="0" w:color="auto"/>
          </w:divBdr>
        </w:div>
        <w:div w:id="708530550">
          <w:marLeft w:val="864"/>
          <w:marRight w:val="0"/>
          <w:marTop w:val="0"/>
          <w:marBottom w:val="82"/>
          <w:divBdr>
            <w:top w:val="none" w:sz="0" w:space="0" w:color="auto"/>
            <w:left w:val="none" w:sz="0" w:space="0" w:color="auto"/>
            <w:bottom w:val="none" w:sz="0" w:space="0" w:color="auto"/>
            <w:right w:val="none" w:sz="0" w:space="0" w:color="auto"/>
          </w:divBdr>
        </w:div>
        <w:div w:id="849220593">
          <w:marLeft w:val="864"/>
          <w:marRight w:val="0"/>
          <w:marTop w:val="0"/>
          <w:marBottom w:val="82"/>
          <w:divBdr>
            <w:top w:val="none" w:sz="0" w:space="0" w:color="auto"/>
            <w:left w:val="none" w:sz="0" w:space="0" w:color="auto"/>
            <w:bottom w:val="none" w:sz="0" w:space="0" w:color="auto"/>
            <w:right w:val="none" w:sz="0" w:space="0" w:color="auto"/>
          </w:divBdr>
        </w:div>
        <w:div w:id="241766843">
          <w:marLeft w:val="0"/>
          <w:marRight w:val="0"/>
          <w:marTop w:val="0"/>
          <w:marBottom w:val="82"/>
          <w:divBdr>
            <w:top w:val="none" w:sz="0" w:space="0" w:color="auto"/>
            <w:left w:val="none" w:sz="0" w:space="0" w:color="auto"/>
            <w:bottom w:val="none" w:sz="0" w:space="0" w:color="auto"/>
            <w:right w:val="none" w:sz="0" w:space="0" w:color="auto"/>
          </w:divBdr>
        </w:div>
        <w:div w:id="1275794760">
          <w:marLeft w:val="0"/>
          <w:marRight w:val="0"/>
          <w:marTop w:val="0"/>
          <w:marBottom w:val="82"/>
          <w:divBdr>
            <w:top w:val="none" w:sz="0" w:space="0" w:color="auto"/>
            <w:left w:val="none" w:sz="0" w:space="0" w:color="auto"/>
            <w:bottom w:val="none" w:sz="0" w:space="0" w:color="auto"/>
            <w:right w:val="none" w:sz="0" w:space="0" w:color="auto"/>
          </w:divBdr>
        </w:div>
        <w:div w:id="1947468145">
          <w:marLeft w:val="0"/>
          <w:marRight w:val="0"/>
          <w:marTop w:val="0"/>
          <w:marBottom w:val="82"/>
          <w:divBdr>
            <w:top w:val="none" w:sz="0" w:space="0" w:color="auto"/>
            <w:left w:val="none" w:sz="0" w:space="0" w:color="auto"/>
            <w:bottom w:val="none" w:sz="0" w:space="0" w:color="auto"/>
            <w:right w:val="none" w:sz="0" w:space="0" w:color="auto"/>
          </w:divBdr>
        </w:div>
      </w:divsChild>
    </w:div>
    <w:div w:id="1979534931">
      <w:bodyDiv w:val="1"/>
      <w:marLeft w:val="0"/>
      <w:marRight w:val="0"/>
      <w:marTop w:val="0"/>
      <w:marBottom w:val="0"/>
      <w:divBdr>
        <w:top w:val="none" w:sz="0" w:space="0" w:color="auto"/>
        <w:left w:val="none" w:sz="0" w:space="0" w:color="auto"/>
        <w:bottom w:val="none" w:sz="0" w:space="0" w:color="auto"/>
        <w:right w:val="none" w:sz="0" w:space="0" w:color="auto"/>
      </w:divBdr>
      <w:divsChild>
        <w:div w:id="1723793818">
          <w:marLeft w:val="0"/>
          <w:marRight w:val="0"/>
          <w:marTop w:val="0"/>
          <w:marBottom w:val="0"/>
          <w:divBdr>
            <w:top w:val="none" w:sz="0" w:space="0" w:color="auto"/>
            <w:left w:val="none" w:sz="0" w:space="0" w:color="auto"/>
            <w:bottom w:val="none" w:sz="0" w:space="0" w:color="auto"/>
            <w:right w:val="none" w:sz="0" w:space="0" w:color="auto"/>
          </w:divBdr>
          <w:divsChild>
            <w:div w:id="2076856448">
              <w:marLeft w:val="0"/>
              <w:marRight w:val="0"/>
              <w:marTop w:val="0"/>
              <w:marBottom w:val="0"/>
              <w:divBdr>
                <w:top w:val="none" w:sz="0" w:space="0" w:color="auto"/>
                <w:left w:val="none" w:sz="0" w:space="0" w:color="auto"/>
                <w:bottom w:val="none" w:sz="0" w:space="0" w:color="auto"/>
                <w:right w:val="none" w:sz="0" w:space="0" w:color="auto"/>
              </w:divBdr>
              <w:divsChild>
                <w:div w:id="518783307">
                  <w:marLeft w:val="0"/>
                  <w:marRight w:val="0"/>
                  <w:marTop w:val="101"/>
                  <w:marBottom w:val="101"/>
                  <w:divBdr>
                    <w:top w:val="none" w:sz="0" w:space="0" w:color="auto"/>
                    <w:left w:val="none" w:sz="0" w:space="0" w:color="auto"/>
                    <w:bottom w:val="none" w:sz="0" w:space="0" w:color="auto"/>
                    <w:right w:val="none" w:sz="0" w:space="0" w:color="auto"/>
                  </w:divBdr>
                </w:div>
                <w:div w:id="7012502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395F8-2EE4-46D6-8EDC-74CC5FAC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3586</Words>
  <Characters>19726</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2021-01-13T21:43:00Z</cp:lastPrinted>
  <dcterms:created xsi:type="dcterms:W3CDTF">2021-01-13T21:33:00Z</dcterms:created>
  <dcterms:modified xsi:type="dcterms:W3CDTF">2021-01-13T21:44:00Z</dcterms:modified>
</cp:coreProperties>
</file>